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1B" w:rsidRDefault="00B262FF">
      <w:pPr>
        <w:spacing w:line="760" w:lineRule="exact"/>
        <w:ind w:firstLine="420"/>
        <w:jc w:val="center"/>
        <w:rPr>
          <w:rFonts w:eastAsia="文星简小标宋"/>
          <w:b/>
          <w:bCs/>
          <w:color w:val="FF0000"/>
          <w:spacing w:val="60"/>
          <w:w w:val="80"/>
          <w:sz w:val="56"/>
        </w:rPr>
      </w:pPr>
      <w:r>
        <w:rPr>
          <w:rFonts w:eastAsia="文星简小标宋" w:hint="eastAsia"/>
          <w:b/>
          <w:bCs/>
          <w:color w:val="FF0000"/>
          <w:spacing w:val="80"/>
          <w:w w:val="80"/>
          <w:sz w:val="56"/>
        </w:rPr>
        <w:t>哈尔滨工业大</w:t>
      </w:r>
      <w:r>
        <w:rPr>
          <w:rFonts w:eastAsia="文星简小标宋" w:hint="eastAsia"/>
          <w:b/>
          <w:bCs/>
          <w:color w:val="FF0000"/>
          <w:spacing w:val="60"/>
          <w:w w:val="80"/>
          <w:sz w:val="56"/>
        </w:rPr>
        <w:t>学</w:t>
      </w:r>
      <w:r>
        <w:rPr>
          <w:rFonts w:eastAsia="文星简小标宋" w:hint="eastAsia"/>
          <w:b/>
          <w:bCs/>
          <w:color w:val="FF0000"/>
          <w:w w:val="80"/>
          <w:sz w:val="56"/>
        </w:rPr>
        <w:t>（</w:t>
      </w:r>
      <w:r>
        <w:rPr>
          <w:rFonts w:eastAsia="文星简小标宋" w:hint="eastAsia"/>
          <w:b/>
          <w:bCs/>
          <w:color w:val="FF0000"/>
          <w:spacing w:val="80"/>
          <w:w w:val="80"/>
          <w:sz w:val="56"/>
        </w:rPr>
        <w:t>威</w:t>
      </w:r>
      <w:r>
        <w:rPr>
          <w:rFonts w:eastAsia="文星简小标宋" w:hint="eastAsia"/>
          <w:b/>
          <w:bCs/>
          <w:color w:val="FF0000"/>
          <w:w w:val="80"/>
          <w:sz w:val="56"/>
        </w:rPr>
        <w:t>海）</w:t>
      </w:r>
      <w:r>
        <w:rPr>
          <w:rFonts w:eastAsia="文星简小标宋" w:hint="eastAsia"/>
          <w:b/>
          <w:bCs/>
          <w:color w:val="FF0000"/>
          <w:spacing w:val="80"/>
          <w:w w:val="80"/>
          <w:sz w:val="56"/>
        </w:rPr>
        <w:t>教务处</w:t>
      </w:r>
    </w:p>
    <w:p w:rsidR="00B0701B" w:rsidRDefault="00B262FF">
      <w:pPr>
        <w:spacing w:beforeLines="50" w:before="156"/>
        <w:jc w:val="center"/>
        <w:rPr>
          <w:rFonts w:ascii="仿宋" w:eastAsia="仿宋" w:hAnsi="仿宋"/>
          <w:b/>
          <w:sz w:val="36"/>
        </w:rPr>
      </w:pPr>
      <w:r>
        <w:rPr>
          <w:rFonts w:ascii="仿宋" w:eastAsia="仿宋" w:hAnsi="仿宋" w:hint="eastAsia"/>
          <w:b/>
          <w:sz w:val="36"/>
        </w:rPr>
        <w:t>关于专项建设课程的开课流程实施细则（试行）</w:t>
      </w:r>
    </w:p>
    <w:p w:rsidR="00B0701B" w:rsidRDefault="00B262FF">
      <w:pPr>
        <w:spacing w:line="580" w:lineRule="exact"/>
        <w:jc w:val="center"/>
        <w:rPr>
          <w:rFonts w:ascii="仿宋_GB2312" w:eastAsia="仿宋_GB2312"/>
          <w:spacing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113030</wp:posOffset>
                </wp:positionV>
                <wp:extent cx="5649595" cy="0"/>
                <wp:effectExtent l="0" t="9525" r="825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959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22E9AC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" from="0,8.9pt" to="444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" strokecolor="red" strokeweight="1.5pt"/>
            </w:pict>
          </mc:Fallback>
        </mc:AlternateContent>
      </w:r>
    </w:p>
    <w:p w:rsidR="00B0701B" w:rsidRDefault="00B262FF">
      <w:pPr>
        <w:pStyle w:val="paragraph"/>
        <w:spacing w:before="60" w:beforeAutospacing="0" w:after="60" w:afterAutospacing="0"/>
        <w:ind w:firstLine="480"/>
        <w:jc w:val="both"/>
      </w:pPr>
      <w:r>
        <w:rPr>
          <w:rFonts w:ascii="仿宋" w:eastAsia="仿宋" w:hAnsi="仿宋" w:hint="eastAsia"/>
          <w:bCs/>
          <w:kern w:val="2"/>
          <w:sz w:val="32"/>
          <w:szCs w:val="32"/>
        </w:rPr>
        <w:t>为充分保障教师权益，切实提高人才培养质量，进一步明确校区专项建设课程开课具体流程，在学校相关规定的基础上，制定以下实施细则：</w:t>
      </w:r>
    </w:p>
    <w:p w:rsidR="00B0701B" w:rsidRDefault="00B262FF">
      <w:pPr>
        <w:pStyle w:val="1"/>
        <w:ind w:firstLineChars="62" w:firstLine="199"/>
      </w:pPr>
      <w:r>
        <w:rPr>
          <w:rFonts w:hint="eastAsia"/>
        </w:rPr>
        <w:t>一、办理依据</w:t>
      </w:r>
    </w:p>
    <w:p w:rsidR="00B0701B" w:rsidRDefault="00B262FF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1</w:t>
      </w:r>
      <w:r>
        <w:rPr>
          <w:rFonts w:ascii="仿宋" w:eastAsia="仿宋" w:hAnsi="仿宋" w:hint="eastAsia"/>
          <w:szCs w:val="32"/>
        </w:rPr>
        <w:t>、《</w:t>
      </w:r>
      <w:r>
        <w:rPr>
          <w:rFonts w:ascii="仿宋" w:eastAsia="仿宋" w:hAnsi="仿宋" w:hint="eastAsia"/>
          <w:bCs/>
          <w:szCs w:val="32"/>
        </w:rPr>
        <w:t>教研处</w:t>
      </w:r>
      <w:r>
        <w:rPr>
          <w:rFonts w:ascii="仿宋" w:eastAsia="仿宋" w:hAnsi="仿宋" w:hint="eastAsia"/>
          <w:szCs w:val="32"/>
        </w:rPr>
        <w:t>〔</w:t>
      </w:r>
      <w:r>
        <w:rPr>
          <w:rFonts w:ascii="仿宋" w:eastAsia="仿宋" w:hAnsi="仿宋" w:hint="eastAsia"/>
          <w:szCs w:val="32"/>
        </w:rPr>
        <w:t>20</w:t>
      </w:r>
      <w:r>
        <w:rPr>
          <w:rFonts w:ascii="仿宋" w:eastAsia="仿宋" w:hAnsi="仿宋" w:hint="eastAsia"/>
          <w:szCs w:val="32"/>
        </w:rPr>
        <w:t>19</w:t>
      </w:r>
      <w:r>
        <w:rPr>
          <w:rFonts w:ascii="仿宋" w:eastAsia="仿宋" w:hAnsi="仿宋" w:hint="eastAsia"/>
          <w:szCs w:val="32"/>
        </w:rPr>
        <w:t>〕</w:t>
      </w:r>
      <w:r>
        <w:rPr>
          <w:rFonts w:ascii="仿宋" w:eastAsia="仿宋" w:hAnsi="仿宋" w:hint="eastAsia"/>
          <w:szCs w:val="32"/>
        </w:rPr>
        <w:t>27</w:t>
      </w:r>
      <w:r>
        <w:rPr>
          <w:rFonts w:ascii="仿宋" w:eastAsia="仿宋" w:hAnsi="仿宋" w:hint="eastAsia"/>
          <w:bCs/>
          <w:szCs w:val="32"/>
        </w:rPr>
        <w:t>号</w:t>
      </w:r>
      <w:r>
        <w:rPr>
          <w:rFonts w:ascii="仿宋" w:eastAsia="仿宋" w:hAnsi="仿宋" w:hint="eastAsia"/>
          <w:bCs/>
          <w:szCs w:val="32"/>
        </w:rPr>
        <w:t xml:space="preserve"> </w:t>
      </w:r>
      <w:r>
        <w:rPr>
          <w:rFonts w:ascii="仿宋" w:eastAsia="仿宋" w:hAnsi="仿宋" w:hint="eastAsia"/>
          <w:bCs/>
          <w:szCs w:val="32"/>
        </w:rPr>
        <w:t>哈尔滨工业大学关于印发本科课程建设管理办法（暂行）</w:t>
      </w:r>
      <w:r>
        <w:rPr>
          <w:rFonts w:ascii="仿宋" w:eastAsia="仿宋" w:hAnsi="仿宋" w:hint="eastAsia"/>
          <w:bCs/>
          <w:szCs w:val="32"/>
        </w:rPr>
        <w:t xml:space="preserve"> </w:t>
      </w:r>
      <w:r>
        <w:rPr>
          <w:rFonts w:ascii="仿宋" w:eastAsia="仿宋" w:hAnsi="仿宋" w:hint="eastAsia"/>
          <w:bCs/>
          <w:szCs w:val="32"/>
        </w:rPr>
        <w:t>的通知》</w:t>
      </w:r>
    </w:p>
    <w:p w:rsidR="00B0701B" w:rsidRDefault="00B262FF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、《教研处〔</w:t>
      </w:r>
      <w:r>
        <w:rPr>
          <w:rFonts w:ascii="仿宋" w:eastAsia="仿宋" w:hAnsi="仿宋" w:hint="eastAsia"/>
          <w:szCs w:val="32"/>
        </w:rPr>
        <w:t>2023</w:t>
      </w:r>
      <w:r>
        <w:rPr>
          <w:rFonts w:ascii="仿宋" w:eastAsia="仿宋" w:hAnsi="仿宋" w:hint="eastAsia"/>
          <w:szCs w:val="32"/>
        </w:rPr>
        <w:t>〕</w:t>
      </w:r>
      <w:r>
        <w:rPr>
          <w:rFonts w:ascii="仿宋" w:eastAsia="仿宋" w:hAnsi="仿宋" w:hint="eastAsia"/>
          <w:szCs w:val="32"/>
        </w:rPr>
        <w:t>20</w:t>
      </w:r>
      <w:r>
        <w:rPr>
          <w:rFonts w:ascii="仿宋" w:eastAsia="仿宋" w:hAnsi="仿宋" w:hint="eastAsia"/>
          <w:szCs w:val="32"/>
        </w:rPr>
        <w:t>号</w:t>
      </w:r>
      <w:r>
        <w:rPr>
          <w:rFonts w:ascii="仿宋" w:eastAsia="仿宋" w:hAnsi="仿宋" w:hint="eastAsia"/>
          <w:szCs w:val="32"/>
        </w:rPr>
        <w:t xml:space="preserve"> </w:t>
      </w:r>
      <w:r>
        <w:rPr>
          <w:rFonts w:ascii="仿宋" w:eastAsia="仿宋" w:hAnsi="仿宋" w:hint="eastAsia"/>
          <w:szCs w:val="32"/>
        </w:rPr>
        <w:t>教学研究与质量管理处关于开展</w:t>
      </w:r>
      <w:r>
        <w:rPr>
          <w:rFonts w:ascii="仿宋" w:eastAsia="仿宋" w:hAnsi="仿宋" w:hint="eastAsia"/>
          <w:szCs w:val="32"/>
        </w:rPr>
        <w:t>2023</w:t>
      </w:r>
      <w:r>
        <w:rPr>
          <w:rFonts w:ascii="仿宋" w:eastAsia="仿宋" w:hAnsi="仿宋" w:hint="eastAsia"/>
          <w:szCs w:val="32"/>
        </w:rPr>
        <w:t>年第三批本科课程开课申请工作的通知》</w:t>
      </w:r>
    </w:p>
    <w:p w:rsidR="00B0701B" w:rsidRDefault="00B262FF">
      <w:pPr>
        <w:pStyle w:val="1"/>
        <w:ind w:firstLineChars="62" w:firstLine="199"/>
        <w:rPr>
          <w:rFonts w:ascii="仿宋" w:hAnsi="仿宋"/>
          <w:color w:val="FF0000"/>
          <w:szCs w:val="32"/>
        </w:rPr>
      </w:pPr>
      <w:r>
        <w:rPr>
          <w:rFonts w:hint="eastAsia"/>
        </w:rPr>
        <w:t>二、办理程序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3"/>
        <w:gridCol w:w="1623"/>
        <w:gridCol w:w="4693"/>
        <w:gridCol w:w="1253"/>
      </w:tblGrid>
      <w:tr w:rsidR="00B0701B">
        <w:tc>
          <w:tcPr>
            <w:tcW w:w="8522" w:type="dxa"/>
            <w:gridSpan w:val="4"/>
          </w:tcPr>
          <w:p w:rsidR="00B0701B" w:rsidRDefault="00B262F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32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bCs/>
                <w:szCs w:val="32"/>
              </w:rPr>
              <w:t>专项建设课程申报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32"/>
              </w:rPr>
              <w:t>流程</w:t>
            </w:r>
          </w:p>
        </w:tc>
      </w:tr>
      <w:tr w:rsidR="00B0701B">
        <w:tc>
          <w:tcPr>
            <w:tcW w:w="953" w:type="dxa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步骤</w:t>
            </w:r>
          </w:p>
        </w:tc>
        <w:tc>
          <w:tcPr>
            <w:tcW w:w="1623" w:type="dxa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办理主体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具体流程及材料</w:t>
            </w:r>
          </w:p>
        </w:tc>
        <w:tc>
          <w:tcPr>
            <w:tcW w:w="1253" w:type="dxa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其他</w:t>
            </w:r>
          </w:p>
        </w:tc>
      </w:tr>
      <w:tr w:rsidR="00B0701B">
        <w:trPr>
          <w:trHeight w:val="905"/>
        </w:trPr>
        <w:tc>
          <w:tcPr>
            <w:tcW w:w="95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162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教务处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每年春秋两学期组织下一学期专项建设课程申报工作，下发通知到各学院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。</w:t>
            </w:r>
          </w:p>
        </w:tc>
        <w:tc>
          <w:tcPr>
            <w:tcW w:w="1253" w:type="dxa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701B">
        <w:tc>
          <w:tcPr>
            <w:tcW w:w="95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1623" w:type="dxa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开课教师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开课教师按照通知要求提交申报材料，向所在学院提出开课申请。</w:t>
            </w:r>
          </w:p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提交材料：</w:t>
            </w:r>
          </w:p>
          <w:p w:rsidR="00B0701B" w:rsidRDefault="00DF0FD6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1</w:t>
            </w:r>
            <w:r>
              <w:rPr>
                <w:rFonts w:ascii="仿宋" w:eastAsia="仿宋" w:hAnsi="仿宋"/>
                <w:sz w:val="24"/>
                <w:szCs w:val="32"/>
              </w:rPr>
              <w:t>.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提交给学院材料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：</w:t>
            </w:r>
          </w:p>
          <w:p w:rsidR="00B0701B" w:rsidRDefault="00DF0FD6" w:rsidP="00DF0FD6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1）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开课申请书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纸质版及电子版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（附件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2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）（</w:t>
            </w:r>
            <w:r w:rsidR="00B262FF">
              <w:rPr>
                <w:rFonts w:ascii="仿宋" w:eastAsia="仿宋" w:hAnsi="仿宋"/>
                <w:sz w:val="24"/>
                <w:szCs w:val="32"/>
              </w:rPr>
              <w:t>2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份）</w:t>
            </w:r>
          </w:p>
          <w:p w:rsidR="00B0701B" w:rsidRDefault="00DF0FD6" w:rsidP="00DF0FD6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2）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1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0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分钟说课视频（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.mp4</w:t>
            </w:r>
            <w:r w:rsidR="00B262FF">
              <w:rPr>
                <w:rFonts w:ascii="仿宋" w:eastAsia="仿宋" w:hAnsi="仿宋" w:hint="eastAsia"/>
                <w:sz w:val="24"/>
                <w:szCs w:val="32"/>
              </w:rPr>
              <w:t>格式）</w:t>
            </w:r>
          </w:p>
          <w:p w:rsidR="00DF0FD6" w:rsidRDefault="00DF0FD6" w:rsidP="00DF0FD6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2.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提交平台材料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：</w:t>
            </w:r>
          </w:p>
          <w:p w:rsidR="00DF0FD6" w:rsidRDefault="00DF0FD6" w:rsidP="00DF0FD6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lastRenderedPageBreak/>
              <w:t>1）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课程开课申请书（附件2）pdf版（签字盖章后扫描件），以“学院+姓名+课程类型”命名。</w:t>
            </w:r>
          </w:p>
          <w:p w:rsidR="00DF0FD6" w:rsidRDefault="00DF0FD6" w:rsidP="00DF0FD6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2）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推荐单位党政意见（学校专项建设课程）pdf版（签字盖章后扫描件），以“学院+姓名”命名（附件4）。</w:t>
            </w:r>
          </w:p>
          <w:p w:rsidR="00DF0FD6" w:rsidRDefault="00DF0FD6" w:rsidP="007F08F4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3）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视频材料：教师录制10分钟说课视频，以“学院+姓名+课程类型”命名。</w:t>
            </w:r>
          </w:p>
        </w:tc>
        <w:tc>
          <w:tcPr>
            <w:tcW w:w="1253" w:type="dxa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701B">
        <w:trPr>
          <w:trHeight w:val="548"/>
        </w:trPr>
        <w:tc>
          <w:tcPr>
            <w:tcW w:w="95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1623" w:type="dxa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学院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学院按照文件要求对开课教师职称，申请开课条件资质及课程内容，课程学时等进行审核，学院在保证教学秩序正常运转的情况下，鼓励高水平教师为学生提供更多优质课程资源，以满足四类杰出人才培养需要。学院确定专项建设课程的开课清单（附件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3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），统一报送教务处。</w:t>
            </w:r>
          </w:p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提交材料：</w:t>
            </w:r>
          </w:p>
          <w:p w:rsidR="00B0701B" w:rsidRDefault="00B262FF" w:rsidP="00B262FF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 w:rsidRPr="00B262FF">
              <w:rPr>
                <w:rFonts w:ascii="仿宋" w:eastAsia="仿宋" w:hAnsi="仿宋" w:hint="eastAsia"/>
                <w:sz w:val="24"/>
                <w:szCs w:val="32"/>
              </w:rPr>
              <w:t>学院</w:t>
            </w:r>
            <w:proofErr w:type="gramStart"/>
            <w:r w:rsidRPr="00B262FF">
              <w:rPr>
                <w:rFonts w:ascii="仿宋" w:eastAsia="仿宋" w:hAnsi="仿宋" w:hint="eastAsia"/>
                <w:sz w:val="24"/>
                <w:szCs w:val="32"/>
              </w:rPr>
              <w:t>课程立课推荐</w:t>
            </w:r>
            <w:proofErr w:type="gramEnd"/>
            <w:r w:rsidRPr="00B262FF">
              <w:rPr>
                <w:rFonts w:ascii="仿宋" w:eastAsia="仿宋" w:hAnsi="仿宋" w:hint="eastAsia"/>
                <w:sz w:val="24"/>
                <w:szCs w:val="32"/>
              </w:rPr>
              <w:t>汇总表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纸质版（签字盖章）及电子版（</w:t>
            </w:r>
            <w:r w:rsidRPr="00B262FF">
              <w:rPr>
                <w:rFonts w:ascii="仿宋" w:eastAsia="仿宋" w:hAnsi="仿宋" w:hint="eastAsia"/>
                <w:sz w:val="24"/>
                <w:szCs w:val="32"/>
              </w:rPr>
              <w:t>附件3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）</w:t>
            </w:r>
          </w:p>
          <w:p w:rsidR="00B262FF" w:rsidRDefault="00B262FF" w:rsidP="00B262FF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/>
                <w:b/>
                <w:sz w:val="24"/>
                <w:szCs w:val="32"/>
              </w:rPr>
            </w:pPr>
            <w:r w:rsidRPr="00B262FF">
              <w:rPr>
                <w:rFonts w:ascii="仿宋" w:eastAsia="仿宋" w:hAnsi="仿宋" w:hint="eastAsia"/>
                <w:b/>
                <w:sz w:val="24"/>
                <w:szCs w:val="32"/>
              </w:rPr>
              <w:t>留存材料</w:t>
            </w:r>
            <w:r>
              <w:rPr>
                <w:rFonts w:ascii="仿宋" w:eastAsia="仿宋" w:hAnsi="仿宋" w:hint="eastAsia"/>
                <w:b/>
                <w:sz w:val="24"/>
                <w:szCs w:val="32"/>
              </w:rPr>
              <w:t>（签字盖章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b/>
                <w:sz w:val="24"/>
                <w:szCs w:val="32"/>
              </w:rPr>
              <w:t>纸质版）：</w:t>
            </w:r>
          </w:p>
          <w:p w:rsidR="00B262FF" w:rsidRDefault="00B262FF" w:rsidP="00B262FF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1）课程开课申请书（附件2）。</w:t>
            </w:r>
          </w:p>
          <w:p w:rsidR="00B262FF" w:rsidRPr="00B262FF" w:rsidRDefault="00B262FF" w:rsidP="00B262FF">
            <w:pPr>
              <w:tabs>
                <w:tab w:val="left" w:pos="840"/>
              </w:tabs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2）推荐单位党政意见（学校专项建设课程）。</w:t>
            </w:r>
          </w:p>
        </w:tc>
        <w:tc>
          <w:tcPr>
            <w:tcW w:w="1253" w:type="dxa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701B">
        <w:trPr>
          <w:trHeight w:val="2441"/>
        </w:trPr>
        <w:tc>
          <w:tcPr>
            <w:tcW w:w="95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4</w:t>
            </w:r>
          </w:p>
        </w:tc>
        <w:tc>
          <w:tcPr>
            <w:tcW w:w="162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教务处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教务处组织专家进行评审，公示审批结果。获批开课的课程提交课程入库信息表，学校统一将课程入库。</w:t>
            </w:r>
          </w:p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提交材料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:</w:t>
            </w:r>
          </w:p>
          <w:p w:rsidR="00B0701B" w:rsidRDefault="00B262FF"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《课程入库信息表》（入库表）</w:t>
            </w:r>
          </w:p>
        </w:tc>
        <w:tc>
          <w:tcPr>
            <w:tcW w:w="1253" w:type="dxa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701B">
        <w:trPr>
          <w:trHeight w:val="1221"/>
        </w:trPr>
        <w:tc>
          <w:tcPr>
            <w:tcW w:w="95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5</w:t>
            </w:r>
          </w:p>
        </w:tc>
        <w:tc>
          <w:tcPr>
            <w:tcW w:w="1623" w:type="dxa"/>
          </w:tcPr>
          <w:p w:rsidR="00B0701B" w:rsidRDefault="00B262FF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开课教师</w:t>
            </w:r>
          </w:p>
        </w:tc>
        <w:tc>
          <w:tcPr>
            <w:tcW w:w="4693" w:type="dxa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开课教师登录教务系统，对课程中英文简介和大纲进行上传维护。</w:t>
            </w:r>
          </w:p>
        </w:tc>
        <w:tc>
          <w:tcPr>
            <w:tcW w:w="1253" w:type="dxa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B0701B" w:rsidRDefault="00B262FF">
      <w:pPr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lastRenderedPageBreak/>
        <w:br w:type="page"/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09"/>
        <w:gridCol w:w="1675"/>
        <w:gridCol w:w="4718"/>
        <w:gridCol w:w="1120"/>
      </w:tblGrid>
      <w:tr w:rsidR="00B0701B">
        <w:tc>
          <w:tcPr>
            <w:tcW w:w="5000" w:type="pct"/>
            <w:gridSpan w:val="4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Cs w:val="32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bCs/>
                <w:szCs w:val="32"/>
              </w:rPr>
              <w:lastRenderedPageBreak/>
              <w:t>专项建设课程开课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32"/>
              </w:rPr>
              <w:t>流程</w:t>
            </w:r>
          </w:p>
        </w:tc>
      </w:tr>
      <w:tr w:rsidR="00B0701B">
        <w:trPr>
          <w:trHeight w:val="646"/>
        </w:trPr>
        <w:tc>
          <w:tcPr>
            <w:tcW w:w="592" w:type="pct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步骤</w:t>
            </w:r>
          </w:p>
        </w:tc>
        <w:tc>
          <w:tcPr>
            <w:tcW w:w="983" w:type="pct"/>
          </w:tcPr>
          <w:p w:rsidR="00B0701B" w:rsidRDefault="00B262FF">
            <w:pPr>
              <w:spacing w:line="360" w:lineRule="auto"/>
              <w:jc w:val="center"/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办理主体</w:t>
            </w:r>
          </w:p>
        </w:tc>
        <w:tc>
          <w:tcPr>
            <w:tcW w:w="2768" w:type="pct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具体流程及材料</w:t>
            </w:r>
          </w:p>
        </w:tc>
        <w:tc>
          <w:tcPr>
            <w:tcW w:w="655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其他</w:t>
            </w: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</w:t>
            </w:r>
          </w:p>
        </w:tc>
        <w:tc>
          <w:tcPr>
            <w:tcW w:w="2768" w:type="pct"/>
            <w:vAlign w:val="center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每年春、秋两学期组织课程开课工作，开课教师应至少提前一学期进行开课申请。首次开课前须通过院级准入考核，并向教务处报备相关材料。开课教师可自行决定是春夏季开课或是秋季开课，连续两年不开课的课程将取消其资格。</w:t>
            </w:r>
          </w:p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2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提交材料：</w:t>
            </w: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 xml:space="preserve"> </w:t>
            </w:r>
          </w:p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《</w:t>
            </w:r>
            <w:bookmarkStart w:id="1" w:name="_Hlk127607010"/>
            <w:r>
              <w:rPr>
                <w:rFonts w:ascii="仿宋" w:eastAsia="仿宋" w:hAnsi="仿宋" w:cs="仿宋" w:hint="eastAsia"/>
                <w:sz w:val="24"/>
                <w:szCs w:val="24"/>
              </w:rPr>
              <w:t>已准入教师开新课审批表</w:t>
            </w:r>
            <w:bookmarkEnd w:id="1"/>
            <w:r>
              <w:rPr>
                <w:rFonts w:ascii="仿宋" w:eastAsia="仿宋" w:hAnsi="仿宋" w:cs="仿宋" w:hint="eastAsia"/>
                <w:sz w:val="24"/>
                <w:szCs w:val="24"/>
              </w:rPr>
              <w:t>》（见每学期的本科课堂教学准入考核工作通知）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开课教师</w:t>
            </w:r>
          </w:p>
        </w:tc>
        <w:tc>
          <w:tcPr>
            <w:tcW w:w="2768" w:type="pct"/>
          </w:tcPr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开课教师按照通知要求在开课确认时间范围内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登录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教务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系统完成下学期开课课程的开课确认，同时提交开课申请书及汇总表至学院。对于系统目前不支持的课程类别（如新生研讨等），采用线下提交开课申请书和开课汇总清单进行开课确认方式。</w:t>
            </w:r>
          </w:p>
          <w:p w:rsidR="00B0701B" w:rsidRDefault="00B262FF">
            <w:pPr>
              <w:spacing w:line="360" w:lineRule="auto"/>
              <w:ind w:firstLineChars="200" w:firstLine="482"/>
              <w:jc w:val="left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提交材料：</w:t>
            </w:r>
          </w:p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1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、纸质版材料</w:t>
            </w:r>
          </w:p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《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XX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学期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XX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类课程开课申请书》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1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份（留存学院）</w:t>
            </w:r>
          </w:p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2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、电子版材料</w:t>
            </w:r>
          </w:p>
          <w:p w:rsidR="00B0701B" w:rsidRDefault="00B262FF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《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XX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学期开课信息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-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含招生方式、专业限制，课程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QQ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交流群等》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</w:p>
        </w:tc>
        <w:tc>
          <w:tcPr>
            <w:tcW w:w="2768" w:type="pct"/>
            <w:vAlign w:val="center"/>
          </w:tcPr>
          <w:p w:rsidR="00B0701B" w:rsidRDefault="00B262FF">
            <w:pPr>
              <w:pStyle w:val="paragraph"/>
              <w:spacing w:before="0" w:beforeAutospacing="0" w:after="0" w:afterAutospacing="0"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学院进行开课确认审核，在教务系统进行开课确认结果提交，同时向教务处提交学期开课汇总（电子和纸质签字版）进行备案，已申请开课并通过的课程原则上不允许停</w:t>
            </w:r>
            <w:r>
              <w:rPr>
                <w:rFonts w:ascii="仿宋" w:eastAsia="仿宋" w:hAnsi="仿宋" w:cs="仿宋" w:hint="eastAsia"/>
              </w:rPr>
              <w:lastRenderedPageBreak/>
              <w:t>开。</w:t>
            </w:r>
          </w:p>
          <w:p w:rsidR="00B0701B" w:rsidRDefault="00B262FF">
            <w:pPr>
              <w:pStyle w:val="paragraph"/>
              <w:spacing w:before="0" w:beforeAutospacing="0" w:after="0" w:afterAutospacing="0" w:line="360" w:lineRule="auto"/>
              <w:ind w:firstLineChars="200" w:firstLine="482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提交资料：</w:t>
            </w:r>
          </w:p>
          <w:p w:rsidR="00B0701B" w:rsidRDefault="00B262FF">
            <w:pPr>
              <w:pStyle w:val="paragraph"/>
              <w:spacing w:before="0" w:beforeAutospacing="0" w:after="0" w:afterAutospacing="0" w:line="360" w:lineRule="auto"/>
              <w:ind w:firstLineChars="200" w:firstLine="4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《</w:t>
            </w:r>
            <w:r>
              <w:rPr>
                <w:rFonts w:ascii="仿宋" w:eastAsia="仿宋" w:hAnsi="仿宋" w:cs="仿宋" w:hint="eastAsia"/>
                <w:color w:val="000000"/>
              </w:rPr>
              <w:t>XX</w:t>
            </w:r>
            <w:r>
              <w:rPr>
                <w:rFonts w:ascii="仿宋" w:eastAsia="仿宋" w:hAnsi="仿宋" w:cs="仿宋" w:hint="eastAsia"/>
                <w:color w:val="000000"/>
              </w:rPr>
              <w:t>学院</w:t>
            </w:r>
            <w:r>
              <w:rPr>
                <w:rFonts w:ascii="仿宋" w:eastAsia="仿宋" w:hAnsi="仿宋" w:cs="仿宋" w:hint="eastAsia"/>
                <w:color w:val="000000"/>
              </w:rPr>
              <w:t>XX</w:t>
            </w:r>
            <w:r>
              <w:rPr>
                <w:rFonts w:ascii="仿宋" w:eastAsia="仿宋" w:hAnsi="仿宋" w:cs="仿宋" w:hint="eastAsia"/>
                <w:color w:val="000000"/>
              </w:rPr>
              <w:t>学期</w:t>
            </w:r>
            <w:r>
              <w:rPr>
                <w:rFonts w:ascii="仿宋" w:eastAsia="仿宋" w:hAnsi="仿宋" w:cs="仿宋" w:hint="eastAsia"/>
                <w:color w:val="000000"/>
              </w:rPr>
              <w:t>XX</w:t>
            </w:r>
            <w:r>
              <w:rPr>
                <w:rFonts w:ascii="仿宋" w:eastAsia="仿宋" w:hAnsi="仿宋" w:cs="仿宋" w:hint="eastAsia"/>
                <w:color w:val="000000"/>
              </w:rPr>
              <w:t>类课程开课信息</w:t>
            </w:r>
            <w:r>
              <w:rPr>
                <w:rFonts w:ascii="仿宋" w:eastAsia="仿宋" w:hAnsi="仿宋" w:cs="仿宋" w:hint="eastAsia"/>
              </w:rPr>
              <w:t>汇总表</w:t>
            </w:r>
            <w:r>
              <w:rPr>
                <w:rFonts w:ascii="仿宋" w:eastAsia="仿宋" w:hAnsi="仿宋" w:cs="仿宋" w:hint="eastAsia"/>
                <w:color w:val="000000"/>
              </w:rPr>
              <w:t>-</w:t>
            </w:r>
            <w:r>
              <w:rPr>
                <w:rFonts w:ascii="仿宋" w:eastAsia="仿宋" w:hAnsi="仿宋" w:cs="仿宋" w:hint="eastAsia"/>
                <w:color w:val="000000"/>
              </w:rPr>
              <w:t>含招收学生方式、学生专业限制，课程</w:t>
            </w:r>
            <w:r>
              <w:rPr>
                <w:rFonts w:ascii="仿宋" w:eastAsia="仿宋" w:hAnsi="仿宋" w:cs="仿宋" w:hint="eastAsia"/>
                <w:color w:val="000000"/>
              </w:rPr>
              <w:t>QQ</w:t>
            </w:r>
            <w:r>
              <w:rPr>
                <w:rFonts w:ascii="仿宋" w:eastAsia="仿宋" w:hAnsi="仿宋" w:cs="仿宋" w:hint="eastAsia"/>
                <w:color w:val="000000"/>
              </w:rPr>
              <w:t>交流群等信息表》，</w:t>
            </w:r>
            <w:r>
              <w:rPr>
                <w:rFonts w:ascii="仿宋" w:eastAsia="仿宋" w:hAnsi="仿宋" w:hint="eastAsia"/>
                <w:color w:val="000000"/>
              </w:rPr>
              <w:t>由学院主管领导签字确认，并加盖学院公章。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教务处审核评定各学院专项建设课程的整体开课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门次及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课程招收人数等情况，汇总备案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并整体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生成任务安排。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教师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教务处统一发布专项建设课程选课通知，组织学生进行线上选课，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选课后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开课教师自行组织安排面试，面试过程应当公平、公正，面试结果应当公开、透明开课教师需留存面试过程资料。通过面试确定学生名单后，需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登录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教务系统进行名单审核确认，审核确认后学生选课名单正式生效。</w:t>
            </w:r>
          </w:p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备注：统一选课时间结束后，如有名单调整，由开课教师提出申请至学院，学院自行调整处理。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开课教师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开课教师根据学生时间自行安排课程上课时间及地点（场地借用），创新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研修课需将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上课时间及地点上报教务系统，新生研讨课、创新实验课和创新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创业课需将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上课时间及地点（场地借用）报学院备案。课程如需调课，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需正常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办理调课手续。</w:t>
            </w:r>
          </w:p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2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提供材料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:</w:t>
            </w:r>
          </w:p>
          <w:p w:rsidR="00B0701B" w:rsidRDefault="00B262FF">
            <w:pPr>
              <w:numPr>
                <w:ilvl w:val="0"/>
                <w:numId w:val="5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《开课教师上报创新研修课时间及地点说明》</w:t>
            </w:r>
          </w:p>
          <w:p w:rsidR="00B0701B" w:rsidRDefault="00B262FF">
            <w:pPr>
              <w:numPr>
                <w:ilvl w:val="0"/>
                <w:numId w:val="5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《调停补代课申请说明》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学院需在开学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周内，将该学期所开课程的具体上课时间、地点汇总之后，安排督导专家听课；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任课教师、学院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课程结束后，教师以百分制评定学生课程成绩，录入成绩。课程必须留存作为学生考核依据的相关材料，包括试卷、大作业、课程论文、报告、作品等。学院负责对归档资料进行存档保存。</w:t>
            </w:r>
          </w:p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归档资料：</w:t>
            </w:r>
          </w:p>
          <w:p w:rsidR="00B0701B" w:rsidRDefault="00B262FF">
            <w:pPr>
              <w:numPr>
                <w:ilvl w:val="0"/>
                <w:numId w:val="6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成绩单；</w:t>
            </w:r>
          </w:p>
          <w:p w:rsidR="00B0701B" w:rsidRDefault="00B262FF">
            <w:pPr>
              <w:numPr>
                <w:ilvl w:val="0"/>
                <w:numId w:val="6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成绩分析报告；</w:t>
            </w:r>
          </w:p>
          <w:p w:rsidR="00B0701B" w:rsidRDefault="00B262FF">
            <w:pPr>
              <w:numPr>
                <w:ilvl w:val="0"/>
                <w:numId w:val="6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累加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式考核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原始成绩记录；</w:t>
            </w:r>
          </w:p>
          <w:p w:rsidR="00B0701B" w:rsidRDefault="00B262FF">
            <w:pPr>
              <w:numPr>
                <w:ilvl w:val="0"/>
                <w:numId w:val="6"/>
              </w:num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试卷、大作业、课程论文、报告、作品等。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0701B">
        <w:trPr>
          <w:trHeight w:val="3070"/>
        </w:trPr>
        <w:tc>
          <w:tcPr>
            <w:tcW w:w="592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983" w:type="pct"/>
            <w:vAlign w:val="center"/>
          </w:tcPr>
          <w:p w:rsidR="00B0701B" w:rsidRDefault="00B262FF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</w:t>
            </w:r>
          </w:p>
        </w:tc>
        <w:tc>
          <w:tcPr>
            <w:tcW w:w="2768" w:type="pct"/>
          </w:tcPr>
          <w:p w:rsidR="00B0701B" w:rsidRDefault="00B262FF">
            <w:pPr>
              <w:tabs>
                <w:tab w:val="left" w:pos="0"/>
                <w:tab w:val="left" w:pos="1696"/>
              </w:tabs>
              <w:spacing w:line="56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课程纳入学校质量监控体系，接受学生评教、专家督导，对于学生评教结果连续三次为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C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的课程，将取消相关教师相关课程的授课资格，教师应在停课期间改进提高，一年后可重新按照新增课程的流程申请开课。</w:t>
            </w:r>
          </w:p>
        </w:tc>
        <w:tc>
          <w:tcPr>
            <w:tcW w:w="655" w:type="pct"/>
          </w:tcPr>
          <w:p w:rsidR="00B0701B" w:rsidRDefault="00B0701B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B0701B" w:rsidRDefault="00B262FF">
      <w:pPr>
        <w:pStyle w:val="1"/>
        <w:ind w:firstLineChars="62" w:firstLine="199"/>
      </w:pPr>
      <w:r>
        <w:rPr>
          <w:rFonts w:hint="eastAsia"/>
        </w:rPr>
        <w:lastRenderedPageBreak/>
        <w:t>三、附则</w:t>
      </w:r>
    </w:p>
    <w:p w:rsidR="00B0701B" w:rsidRDefault="00B262FF">
      <w:pPr>
        <w:spacing w:line="360" w:lineRule="auto"/>
        <w:ind w:firstLineChars="200" w:firstLine="640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原校级创新研修课和创新实验课已立项通过的，可以每学期系统进行开课确认。（注：原立项不符合现行标准的，需要重新进行开课申报）原学院创新创业课程需申报校区专项课程后申请开课。</w:t>
      </w:r>
    </w:p>
    <w:p w:rsidR="00B0701B" w:rsidRDefault="00B262FF">
      <w:pPr>
        <w:pStyle w:val="paragraph"/>
        <w:spacing w:before="60" w:beforeAutospacing="0" w:after="60" w:afterAutospacing="0" w:line="360" w:lineRule="auto"/>
        <w:ind w:firstLine="480"/>
        <w:rPr>
          <w:rFonts w:ascii="仿宋" w:eastAsia="仿宋" w:hAnsi="仿宋"/>
          <w:bCs/>
          <w:kern w:val="2"/>
          <w:sz w:val="32"/>
          <w:szCs w:val="32"/>
        </w:rPr>
      </w:pPr>
      <w:r>
        <w:rPr>
          <w:rFonts w:ascii="仿宋" w:eastAsia="仿宋" w:hAnsi="仿宋" w:hint="eastAsia"/>
          <w:bCs/>
          <w:kern w:val="2"/>
          <w:sz w:val="32"/>
          <w:szCs w:val="32"/>
        </w:rPr>
        <w:t>本细则中有关校区专项建设课程（新生研讨课、创新研修课、创新实验课及创新创业课程）申报流程及开课流程的未尽事宜，由哈尔滨工业大学（威海）教务处与各学院，根据有关规定和实际情况确定后实行。</w:t>
      </w:r>
    </w:p>
    <w:p w:rsidR="00B0701B" w:rsidRDefault="00B262FF">
      <w:pPr>
        <w:pStyle w:val="paragraph"/>
        <w:spacing w:before="60" w:beforeAutospacing="0" w:after="60" w:afterAutospacing="0" w:line="360" w:lineRule="auto"/>
        <w:ind w:firstLine="480"/>
        <w:rPr>
          <w:rFonts w:ascii="仿宋" w:eastAsia="仿宋" w:hAnsi="仿宋"/>
          <w:bCs/>
          <w:kern w:val="2"/>
          <w:sz w:val="32"/>
          <w:szCs w:val="32"/>
        </w:rPr>
      </w:pPr>
      <w:r>
        <w:rPr>
          <w:rFonts w:ascii="仿宋" w:eastAsia="仿宋" w:hAnsi="仿宋" w:hint="eastAsia"/>
          <w:bCs/>
          <w:kern w:val="2"/>
          <w:sz w:val="32"/>
          <w:szCs w:val="32"/>
        </w:rPr>
        <w:t>以上关于校区专项建设课程申报及开课流程的实施细则（试行）由哈尔滨工业大学（威海）教务处负责解释。</w:t>
      </w:r>
    </w:p>
    <w:p w:rsidR="00B0701B" w:rsidRDefault="00B0701B"/>
    <w:p w:rsidR="00B0701B" w:rsidRDefault="00B0701B"/>
    <w:p w:rsidR="00B0701B" w:rsidRDefault="00B0701B"/>
    <w:p w:rsidR="00B0701B" w:rsidRDefault="00B0701B"/>
    <w:p w:rsidR="00B0701B" w:rsidRDefault="00B262FF">
      <w:pPr>
        <w:ind w:left="5460" w:firstLine="420"/>
      </w:pPr>
      <w:r>
        <w:t>2023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t>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sectPr w:rsidR="00B07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文星简小标宋">
    <w:altName w:val="宋体"/>
    <w:panose1 w:val="02010609000101010101"/>
    <w:charset w:val="86"/>
    <w:family w:val="modern"/>
    <w:pitch w:val="fixed"/>
    <w:sig w:usb0="00000203" w:usb1="080F0000" w:usb2="00000010" w:usb3="00000000" w:csb0="00160005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4EF4B9"/>
    <w:multiLevelType w:val="multilevel"/>
    <w:tmpl w:val="884EF4B9"/>
    <w:lvl w:ilvl="0">
      <w:start w:val="1"/>
      <w:numFmt w:val="decimal"/>
      <w:suff w:val="nothing"/>
      <w:lvlText w:val="%1、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AD448CB0"/>
    <w:multiLevelType w:val="singleLevel"/>
    <w:tmpl w:val="AD448CB0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B726723"/>
    <w:multiLevelType w:val="singleLevel"/>
    <w:tmpl w:val="CB726723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DAA2C007"/>
    <w:multiLevelType w:val="singleLevel"/>
    <w:tmpl w:val="DAA2C007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EA32703F"/>
    <w:multiLevelType w:val="singleLevel"/>
    <w:tmpl w:val="EA32703F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6931E96C"/>
    <w:multiLevelType w:val="singleLevel"/>
    <w:tmpl w:val="6931E96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NTliYzk3MTUyNjIzNzc4MjNlYzk0MTBiNGY0ZDcifQ=="/>
  </w:docVars>
  <w:rsids>
    <w:rsidRoot w:val="66E81304"/>
    <w:rsid w:val="00035638"/>
    <w:rsid w:val="00064A07"/>
    <w:rsid w:val="00150A46"/>
    <w:rsid w:val="001C7272"/>
    <w:rsid w:val="003426C0"/>
    <w:rsid w:val="00445B28"/>
    <w:rsid w:val="005743D4"/>
    <w:rsid w:val="007F08F4"/>
    <w:rsid w:val="00942A38"/>
    <w:rsid w:val="00A55901"/>
    <w:rsid w:val="00AB26DA"/>
    <w:rsid w:val="00B0701B"/>
    <w:rsid w:val="00B262FF"/>
    <w:rsid w:val="00BF3443"/>
    <w:rsid w:val="00C007C6"/>
    <w:rsid w:val="00CC3BB8"/>
    <w:rsid w:val="00DF0FD6"/>
    <w:rsid w:val="00DF4BFE"/>
    <w:rsid w:val="00E31628"/>
    <w:rsid w:val="00E8696B"/>
    <w:rsid w:val="00ED7C7C"/>
    <w:rsid w:val="00F02BFD"/>
    <w:rsid w:val="01D47D54"/>
    <w:rsid w:val="061E1D74"/>
    <w:rsid w:val="0E6C0832"/>
    <w:rsid w:val="10C338B1"/>
    <w:rsid w:val="117F7D96"/>
    <w:rsid w:val="14F33AD4"/>
    <w:rsid w:val="1F3F71F9"/>
    <w:rsid w:val="22456F79"/>
    <w:rsid w:val="22F117D7"/>
    <w:rsid w:val="248C5333"/>
    <w:rsid w:val="261915BE"/>
    <w:rsid w:val="2A8B2207"/>
    <w:rsid w:val="2B55706B"/>
    <w:rsid w:val="2CCD5A06"/>
    <w:rsid w:val="2FC74958"/>
    <w:rsid w:val="345F6190"/>
    <w:rsid w:val="35CF5AD7"/>
    <w:rsid w:val="372C6501"/>
    <w:rsid w:val="378325C5"/>
    <w:rsid w:val="39013701"/>
    <w:rsid w:val="399126C7"/>
    <w:rsid w:val="399E10ED"/>
    <w:rsid w:val="3C76303E"/>
    <w:rsid w:val="45ED0F20"/>
    <w:rsid w:val="4777461D"/>
    <w:rsid w:val="4C43011D"/>
    <w:rsid w:val="4E2260BC"/>
    <w:rsid w:val="4E4F3708"/>
    <w:rsid w:val="52CB7904"/>
    <w:rsid w:val="5544141A"/>
    <w:rsid w:val="57B07CC5"/>
    <w:rsid w:val="58BB10EA"/>
    <w:rsid w:val="5B260BE4"/>
    <w:rsid w:val="60DD5790"/>
    <w:rsid w:val="66E81304"/>
    <w:rsid w:val="69212E07"/>
    <w:rsid w:val="6B0074AE"/>
    <w:rsid w:val="6BE94331"/>
    <w:rsid w:val="6CD8084D"/>
    <w:rsid w:val="6F7A26BF"/>
    <w:rsid w:val="76AC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78EE55A"/>
  <w15:docId w15:val="{8930B3C2-7C0C-4B92-86BB-D5A726C4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ind w:firstLineChars="200" w:firstLine="200"/>
      <w:outlineLvl w:val="0"/>
    </w:pPr>
    <w:rPr>
      <w:rFonts w:eastAsia="仿宋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semiHidden/>
    <w:qFormat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董爽爽</dc:creator>
  <cp:lastModifiedBy>zzy</cp:lastModifiedBy>
  <cp:revision>11</cp:revision>
  <cp:lastPrinted>2023-10-27T03:24:00Z</cp:lastPrinted>
  <dcterms:created xsi:type="dcterms:W3CDTF">2023-10-11T07:35:00Z</dcterms:created>
  <dcterms:modified xsi:type="dcterms:W3CDTF">2023-12-26T03:31:00Z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77CF23C698F74031BD7E127D6D58EDBB_13</vt:lpwstr>
  </property>
</Properties>
</file>