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环境工程辅修专业培养方案</w:t>
      </w:r>
    </w:p>
    <w:p>
      <w:pPr>
        <w:tabs>
          <w:tab w:val="left" w:pos="504"/>
        </w:tabs>
        <w:spacing w:before="156" w:beforeLines="50" w:after="156" w:afterLines="50" w:line="400" w:lineRule="exact"/>
        <w:rPr>
          <w:rFonts w:ascii="Times New Roman" w:hAnsi="Times New Roman" w:eastAsia="微软雅黑" w:cs="Times New Roman"/>
          <w:b/>
          <w:sz w:val="24"/>
          <w:szCs w:val="20"/>
          <w:highlight w:val="none"/>
        </w:rPr>
      </w:pPr>
      <w:r>
        <w:rPr>
          <w:rFonts w:ascii="Times New Roman" w:hAnsi="Times New Roman" w:eastAsia="微软雅黑" w:cs="Times New Roman"/>
          <w:b/>
          <w:sz w:val="24"/>
          <w:szCs w:val="20"/>
          <w:highlight w:val="none"/>
        </w:rPr>
        <w:t>一、培养目标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面向生态文明建设的国家战略，面向环境领域的国际科技前沿和国家重大需求，秉承“规格严格，功夫到家”的校训，强化“厚基础、强实践、严过程、求创新”的人才培养特色，培养尊重自然规律和工程伦理，具有多维知识结构、创新思维和国际视野，具备沟通协作、科技创新、解决复杂工程问题和终身学习能力，具有优良品德、执着信念和家国情怀，能够在生态文明建设等领域引领未来发展的拔尖创新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毕业生五年内达到以下目标：（1）在政府部门、规划部门、设计单位、工矿企业等，从事环境污染预防与控制的规划、设计、教学、研究开发和管理工作，具备解决复杂环境工程问题的能力。（2）尊重自然规律和工程伦理，具备终身学习能力和多维知识结构，能够引领环保技术的发展。（3）具有领导力和国际视野，具有良好的沟通协作能力，成为环境产业领域的杰出骨干人才和领导者。</w:t>
      </w:r>
    </w:p>
    <w:p>
      <w:pPr>
        <w:tabs>
          <w:tab w:val="left" w:pos="504"/>
        </w:tabs>
        <w:spacing w:before="156" w:beforeLines="50" w:after="156" w:afterLines="50" w:line="400" w:lineRule="exact"/>
        <w:rPr>
          <w:rFonts w:ascii="Times New Roman" w:hAnsi="Times New Roman" w:eastAsia="微软雅黑" w:cs="Times New Roman"/>
          <w:b/>
          <w:sz w:val="24"/>
          <w:szCs w:val="20"/>
          <w:highlight w:val="none"/>
        </w:rPr>
      </w:pPr>
      <w:r>
        <w:rPr>
          <w:rFonts w:ascii="Times New Roman" w:hAnsi="Times New Roman" w:eastAsia="微软雅黑" w:cs="Times New Roman"/>
          <w:b/>
          <w:sz w:val="24"/>
          <w:szCs w:val="20"/>
          <w:highlight w:val="none"/>
        </w:rPr>
        <w:t>二、培养要求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1.工程知识：具有从事环境工程工作所需的相关数学、 化学等自然科学知识，掌握环境污染预防与控制的工程基础和专业知识，并能将所学知识用于解决复杂环境工程问题。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2.问题分析：能够应用数学、自然科学和工程科学的基本理论和技术方法，识别、表达、并通过文献研究分析复杂环境工程问题，获得有效结论。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3.设计/开发解决方案：能够综合运用所学知识设计和开发复杂环境工程问题的解决方案，设计满足特定需求的系统、单元和工艺流程，并能够在设计环节中体现创新意识，考虑社会、健康、安全、法律、文化以及环境等因素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4.研究：能够基于科学原理并采用科学方法对复杂的环境工程问题进行研究；能够基于理论知识合理设计实验与搭建实验装置；能够分析与解释数据、并通过信息综合得到合理有效的结论。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5.使用现代工具：具有工程制图、计算机辅助设计能力；使用现代化的分析检测设备和应用计算机进行数据处理能力；掌握及运用现代信息技术获取相关信息的基本方法；能够预测和模拟复杂环境问题；能针对复杂环境工程问题，开发、选择与使用恰当的工具、技术及资源，并理解其局限性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6.工程与社会：掌握环境经济、管理基础知识，熟悉环境工程设计的规范，能够基于工程相关背景知识合理分析和评价建设项目，正确认识复杂工程问题解决方案对社会、健康、安全、法律以及文化的影响，并理解应承担的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7.环境和可持续发展：了解国家环境保护相关的政策、法律法规、标准，理解可持续发展的内涵，了解环境工程的发展现状和趋势，能够评价复杂工程实践对环境、社会可持续发展的影响。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8.职业规范：具有人文社会科学素养和强烈的社会责任感，具有保障人类健康、维护生态安全和改善环境质量的理念，求真务实，能够在工程实践中理解并遵守工程职业道德和规范，履行责任。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9.个人和团队：具有良好的组织能力、表达能力和人际交往能力，团结协作，能够在多学科背景下的团队中承担个体、团队成员以及负责人的角色。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10.沟通：具有撰写报告和设计文稿、陈述发言、清晰表达的能力，能够就复杂工程问题与业界同行及社会公众进行有效沟通和交流。并具备开阔的国际视野，能够在跨文化背景下进行沟通和交流。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11.项目管理：理解并掌握环境工程管理原理与经济决策方法，理解环境工程与相关学科的关系及影响，在多学科环境中应用。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12.终身学习：具有自主学习和终身学习的意识，有不断学习和适应发展的能力。</w:t>
      </w:r>
    </w:p>
    <w:p>
      <w:pPr>
        <w:tabs>
          <w:tab w:val="left" w:pos="504"/>
        </w:tabs>
        <w:spacing w:before="156" w:beforeLines="50" w:after="156" w:afterLines="50" w:line="400" w:lineRule="exact"/>
        <w:rPr>
          <w:rFonts w:ascii="Times New Roman" w:hAnsi="Times New Roman" w:eastAsia="微软雅黑" w:cs="Times New Roman"/>
          <w:b/>
          <w:sz w:val="24"/>
          <w:szCs w:val="20"/>
        </w:rPr>
      </w:pPr>
      <w:r>
        <w:rPr>
          <w:rFonts w:ascii="Times New Roman" w:hAnsi="Times New Roman" w:eastAsia="微软雅黑" w:cs="Times New Roman"/>
          <w:b/>
          <w:sz w:val="24"/>
          <w:szCs w:val="20"/>
        </w:rPr>
        <w:t>三、主干学科</w:t>
      </w:r>
    </w:p>
    <w:p>
      <w:pPr>
        <w:tabs>
          <w:tab w:val="left" w:pos="672"/>
        </w:tabs>
        <w:spacing w:line="400" w:lineRule="atLeast"/>
        <w:ind w:firstLine="420" w:firstLineChars="200"/>
        <w:rPr>
          <w:rFonts w:hint="eastAsia" w:eastAsiaTheme="minorEastAsia"/>
          <w:szCs w:val="21"/>
          <w:lang w:val="en-US" w:eastAsia="zh-CN"/>
        </w:rPr>
      </w:pPr>
      <w:r>
        <w:rPr>
          <w:szCs w:val="21"/>
        </w:rPr>
        <w:t>环境科学与工程</w:t>
      </w:r>
      <w:r>
        <w:rPr>
          <w:rFonts w:hint="eastAsia"/>
          <w:szCs w:val="21"/>
          <w:highlight w:val="none"/>
          <w:lang w:eastAsia="zh-CN"/>
        </w:rPr>
        <w:t>。</w:t>
      </w:r>
    </w:p>
    <w:p>
      <w:pPr>
        <w:tabs>
          <w:tab w:val="left" w:pos="504"/>
        </w:tabs>
        <w:spacing w:before="156" w:beforeLines="50" w:after="156" w:afterLines="50" w:line="400" w:lineRule="exact"/>
        <w:rPr>
          <w:rFonts w:ascii="Times New Roman" w:hAnsi="Times New Roman" w:eastAsia="微软雅黑" w:cs="Times New Roman"/>
          <w:b/>
          <w:sz w:val="24"/>
          <w:szCs w:val="20"/>
        </w:rPr>
      </w:pPr>
      <w:r>
        <w:rPr>
          <w:rFonts w:hint="eastAsia" w:ascii="Times New Roman" w:hAnsi="Times New Roman" w:eastAsia="微软雅黑" w:cs="Times New Roman"/>
          <w:b/>
          <w:sz w:val="24"/>
          <w:szCs w:val="20"/>
          <w:lang w:val="en-US" w:eastAsia="zh-CN"/>
        </w:rPr>
        <w:t>四</w:t>
      </w:r>
      <w:r>
        <w:rPr>
          <w:rFonts w:ascii="Times New Roman" w:hAnsi="Times New Roman" w:eastAsia="微软雅黑" w:cs="Times New Roman"/>
          <w:b/>
          <w:sz w:val="24"/>
          <w:szCs w:val="20"/>
        </w:rPr>
        <w:t>、</w:t>
      </w:r>
      <w:r>
        <w:rPr>
          <w:rFonts w:hint="eastAsia" w:ascii="Times New Roman" w:hAnsi="Times New Roman" w:eastAsia="微软雅黑" w:cs="Times New Roman"/>
          <w:b/>
          <w:sz w:val="24"/>
          <w:szCs w:val="20"/>
          <w:lang w:eastAsia="zh-CN"/>
        </w:rPr>
        <w:t>专业基础课程和专业核心课程</w:t>
      </w:r>
    </w:p>
    <w:p>
      <w:pPr>
        <w:tabs>
          <w:tab w:val="left" w:pos="672"/>
        </w:tabs>
        <w:spacing w:line="400" w:lineRule="exact"/>
        <w:ind w:firstLine="422" w:firstLineChars="200"/>
        <w:rPr>
          <w:rFonts w:hint="eastAsia" w:ascii="宋体" w:hAnsi="宋体" w:eastAsiaTheme="minorEastAsia"/>
          <w:szCs w:val="21"/>
          <w:lang w:eastAsia="zh-CN"/>
        </w:rPr>
      </w:pPr>
      <w:r>
        <w:rPr>
          <w:rFonts w:hint="eastAsia" w:ascii="宋体" w:hAnsi="宋体"/>
          <w:b/>
          <w:bCs/>
          <w:szCs w:val="21"/>
        </w:rPr>
        <w:t>专业基础课程</w:t>
      </w:r>
      <w:r>
        <w:rPr>
          <w:rFonts w:hint="eastAsia" w:ascii="宋体" w:hAnsi="宋体"/>
          <w:szCs w:val="21"/>
        </w:rPr>
        <w:t>：</w:t>
      </w:r>
      <w:r>
        <w:rPr>
          <w:szCs w:val="21"/>
        </w:rPr>
        <w:t>环境工程原理、污染控制微生物学、</w:t>
      </w:r>
      <w:r>
        <w:rPr>
          <w:rFonts w:hint="eastAsia"/>
          <w:szCs w:val="21"/>
          <w:lang w:val="en-US" w:eastAsia="zh-CN"/>
        </w:rPr>
        <w:t>环境学</w:t>
      </w:r>
      <w:r>
        <w:rPr>
          <w:rFonts w:hint="eastAsia"/>
          <w:szCs w:val="21"/>
          <w:lang w:eastAsia="zh-CN"/>
        </w:rPr>
        <w:t>；</w:t>
      </w:r>
    </w:p>
    <w:p>
      <w:pPr>
        <w:tabs>
          <w:tab w:val="left" w:pos="672"/>
        </w:tabs>
        <w:spacing w:line="400" w:lineRule="exact"/>
        <w:ind w:firstLine="422" w:firstLineChars="200"/>
        <w:rPr>
          <w:rFonts w:hint="eastAsia" w:eastAsiaTheme="minorEastAsia"/>
          <w:szCs w:val="21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Cs w:val="21"/>
          <w:highlight w:val="none"/>
        </w:rPr>
        <w:t>专业核心课程</w:t>
      </w:r>
      <w:r>
        <w:rPr>
          <w:rFonts w:hint="eastAsia" w:ascii="宋体" w:hAnsi="宋体"/>
          <w:szCs w:val="21"/>
          <w:highlight w:val="none"/>
        </w:rPr>
        <w:t>：</w:t>
      </w:r>
      <w:r>
        <w:rPr>
          <w:szCs w:val="21"/>
          <w:highlight w:val="none"/>
        </w:rPr>
        <w:t>水污染控制工程、大气污染控制工程、固体废物处理与资源</w:t>
      </w:r>
      <w:r>
        <w:rPr>
          <w:rFonts w:hint="eastAsia"/>
          <w:szCs w:val="21"/>
          <w:highlight w:val="none"/>
        </w:rPr>
        <w:t>化、环境影响评价、废水处理与回用</w:t>
      </w:r>
    </w:p>
    <w:p>
      <w:pPr>
        <w:tabs>
          <w:tab w:val="left" w:pos="504"/>
        </w:tabs>
        <w:spacing w:before="156" w:beforeLines="50" w:after="156" w:afterLines="50" w:line="400" w:lineRule="exact"/>
        <w:rPr>
          <w:rFonts w:hint="eastAsia" w:ascii="Times New Roman" w:hAnsi="Times New Roman" w:eastAsia="微软雅黑" w:cs="Times New Roman"/>
          <w:b/>
          <w:sz w:val="24"/>
          <w:szCs w:val="22"/>
          <w:lang w:eastAsia="zh-CN"/>
        </w:rPr>
      </w:pPr>
      <w:r>
        <w:rPr>
          <w:rFonts w:hint="eastAsia" w:ascii="Times New Roman" w:hAnsi="Times New Roman" w:eastAsia="微软雅黑" w:cs="Times New Roman"/>
          <w:b/>
          <w:sz w:val="24"/>
          <w:szCs w:val="22"/>
          <w:lang w:val="en-US" w:eastAsia="zh-CN"/>
        </w:rPr>
        <w:t>五</w:t>
      </w:r>
      <w:r>
        <w:rPr>
          <w:rFonts w:ascii="Times New Roman" w:hAnsi="Times New Roman" w:eastAsia="微软雅黑" w:cs="Times New Roman"/>
          <w:b/>
          <w:sz w:val="24"/>
          <w:szCs w:val="20"/>
        </w:rPr>
        <w:t>、</w:t>
      </w:r>
      <w:r>
        <w:rPr>
          <w:rFonts w:hint="eastAsia" w:ascii="Times New Roman" w:hAnsi="Times New Roman" w:eastAsia="微软雅黑" w:cs="Times New Roman"/>
          <w:b/>
          <w:sz w:val="24"/>
          <w:szCs w:val="22"/>
          <w:lang w:eastAsia="zh-CN"/>
        </w:rPr>
        <w:t>学制、授予学位及毕业要求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Theme="minorEastAsia"/>
          <w:szCs w:val="21"/>
          <w:lang w:eastAsia="zh-CN"/>
        </w:rPr>
      </w:pPr>
      <w:r>
        <w:rPr>
          <w:rFonts w:hint="eastAsia" w:ascii="宋体" w:hAnsi="宋体"/>
          <w:szCs w:val="21"/>
        </w:rPr>
        <w:t>学制：</w:t>
      </w:r>
      <w:r>
        <w:rPr>
          <w:rFonts w:hint="eastAsia" w:ascii="宋体" w:hAnsi="宋体"/>
          <w:szCs w:val="21"/>
          <w:lang w:eastAsia="zh-CN"/>
        </w:rPr>
        <w:t>三年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授予学位：</w:t>
      </w:r>
      <w:r>
        <w:rPr>
          <w:rFonts w:hint="eastAsia" w:ascii="宋体" w:hAnsi="宋体"/>
          <w:szCs w:val="21"/>
          <w:lang w:val="en-US" w:eastAsia="zh-CN"/>
        </w:rPr>
        <w:t>工学辅修学士学位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毕业要求：在主修专业毕（结）业前，完成培养方案规定的全部课程学习及实践环节训练，修满2</w:t>
      </w:r>
      <w:r>
        <w:rPr>
          <w:rFonts w:hint="eastAsia" w:ascii="宋体" w:hAnsi="宋体"/>
          <w:szCs w:val="21"/>
          <w:lang w:val="en-US" w:eastAsia="zh-CN"/>
        </w:rPr>
        <w:t>0</w:t>
      </w:r>
      <w:r>
        <w:rPr>
          <w:rFonts w:hint="eastAsia" w:ascii="宋体" w:hAnsi="宋体"/>
          <w:szCs w:val="21"/>
        </w:rPr>
        <w:t>学分(不含毕业论文（设计）)，在主修专业毕（结）业时，获得辅修专业证书。若毕业论文（设计）答辩通过，修满2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学分可申请辅修学士学位。</w:t>
      </w: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spacing w:line="240" w:lineRule="auto"/>
        <w:ind w:firstLine="420" w:firstLineChars="200"/>
        <w:jc w:val="both"/>
        <w:rPr>
          <w:rFonts w:hint="eastAsia" w:ascii="宋体" w:hAnsi="宋体"/>
          <w:szCs w:val="21"/>
        </w:rPr>
      </w:pPr>
    </w:p>
    <w:p>
      <w:pPr>
        <w:tabs>
          <w:tab w:val="left" w:pos="504"/>
        </w:tabs>
        <w:spacing w:before="156" w:beforeLines="50" w:after="156" w:afterLines="50" w:line="400" w:lineRule="exact"/>
        <w:rPr>
          <w:rFonts w:hint="eastAsia" w:ascii="Times New Roman" w:hAnsi="Times New Roman" w:eastAsia="微软雅黑" w:cs="Times New Roman"/>
          <w:b/>
          <w:sz w:val="24"/>
          <w:szCs w:val="22"/>
          <w:lang w:val="en-US" w:eastAsia="zh-CN"/>
        </w:rPr>
      </w:pPr>
      <w:r>
        <w:rPr>
          <w:rFonts w:hint="eastAsia" w:ascii="Times New Roman" w:hAnsi="Times New Roman" w:eastAsia="微软雅黑" w:cs="Times New Roman"/>
          <w:b/>
          <w:sz w:val="24"/>
          <w:szCs w:val="22"/>
          <w:lang w:val="en-US" w:eastAsia="zh-CN"/>
        </w:rPr>
        <w:t>六</w:t>
      </w:r>
      <w:r>
        <w:rPr>
          <w:rFonts w:ascii="Times New Roman" w:hAnsi="Times New Roman" w:eastAsia="微软雅黑" w:cs="Times New Roman"/>
          <w:b/>
          <w:sz w:val="24"/>
          <w:szCs w:val="20"/>
        </w:rPr>
        <w:t>、</w:t>
      </w:r>
      <w:r>
        <w:rPr>
          <w:rFonts w:hint="eastAsia" w:ascii="Times New Roman" w:hAnsi="Times New Roman" w:eastAsia="微软雅黑" w:cs="Times New Roman"/>
          <w:b/>
          <w:sz w:val="24"/>
          <w:szCs w:val="22"/>
          <w:lang w:val="en-US" w:eastAsia="zh-CN"/>
        </w:rPr>
        <w:t>学年教学进程表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eastAsia="黑体"/>
          <w:b/>
          <w:color w:val="000000"/>
          <w:sz w:val="32"/>
        </w:rPr>
      </w:pPr>
      <w:r>
        <w:rPr>
          <w:rFonts w:hint="eastAsia" w:eastAsia="黑体"/>
          <w:b/>
          <w:sz w:val="32"/>
          <w:u w:val="none"/>
          <w:lang w:val="en-US" w:eastAsia="zh-CN"/>
        </w:rPr>
        <w:t>环境工程</w:t>
      </w:r>
      <w:r>
        <w:rPr>
          <w:rFonts w:hint="eastAsia" w:eastAsia="黑体"/>
          <w:b/>
          <w:sz w:val="32"/>
          <w:u w:val="none"/>
        </w:rPr>
        <w:t>辅修专业</w:t>
      </w:r>
      <w:r>
        <w:rPr>
          <w:rFonts w:hint="eastAsia" w:eastAsia="黑体"/>
          <w:b/>
          <w:sz w:val="32"/>
        </w:rPr>
        <w:t>第</w:t>
      </w:r>
      <w:r>
        <w:rPr>
          <w:rFonts w:hint="eastAsia" w:eastAsia="黑体"/>
          <w:b/>
          <w:sz w:val="32"/>
          <w:lang w:val="en-US" w:eastAsia="zh-CN"/>
        </w:rPr>
        <w:t>二</w:t>
      </w:r>
      <w:r>
        <w:rPr>
          <w:rFonts w:hint="eastAsia" w:eastAsia="黑体"/>
          <w:b/>
          <w:sz w:val="32"/>
        </w:rPr>
        <w:t>学年教学进程表</w:t>
      </w:r>
    </w:p>
    <w:tbl>
      <w:tblPr>
        <w:tblStyle w:val="4"/>
        <w:tblW w:w="88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3"/>
        <w:gridCol w:w="1648"/>
        <w:gridCol w:w="1706"/>
        <w:gridCol w:w="559"/>
        <w:gridCol w:w="627"/>
        <w:gridCol w:w="628"/>
        <w:gridCol w:w="627"/>
        <w:gridCol w:w="628"/>
        <w:gridCol w:w="627"/>
        <w:gridCol w:w="628"/>
        <w:gridCol w:w="6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3" w:hRule="atLeast"/>
          <w:jc w:val="center"/>
        </w:trPr>
        <w:tc>
          <w:tcPr>
            <w:tcW w:w="543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开课学期</w:t>
            </w:r>
          </w:p>
        </w:tc>
        <w:tc>
          <w:tcPr>
            <w:tcW w:w="1648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18"/>
              </w:rPr>
            </w:pPr>
            <w:r>
              <w:rPr>
                <w:rFonts w:hint="eastAsia" w:ascii="宋体" w:hAnsi="宋体"/>
                <w:bCs/>
                <w:szCs w:val="18"/>
              </w:rPr>
              <w:t>课程编号</w:t>
            </w:r>
          </w:p>
        </w:tc>
        <w:tc>
          <w:tcPr>
            <w:tcW w:w="1706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  程  名  称</w:t>
            </w:r>
          </w:p>
        </w:tc>
        <w:tc>
          <w:tcPr>
            <w:tcW w:w="55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学分</w:t>
            </w:r>
          </w:p>
        </w:tc>
        <w:tc>
          <w:tcPr>
            <w:tcW w:w="3765" w:type="dxa"/>
            <w:gridSpan w:val="6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学 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hint="eastAsia" w:ascii="宋体" w:hAnsi="宋体"/>
                <w:bCs/>
              </w:rPr>
              <w:t xml:space="preserve">时  </w:t>
            </w:r>
            <w:r>
              <w:rPr>
                <w:rFonts w:ascii="宋体" w:hAnsi="宋体"/>
                <w:bCs/>
              </w:rPr>
              <w:t xml:space="preserve">  分</w:t>
            </w:r>
            <w:r>
              <w:rPr>
                <w:rFonts w:hint="eastAsia" w:ascii="宋体" w:hAnsi="宋体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 配</w:t>
            </w:r>
          </w:p>
        </w:tc>
        <w:tc>
          <w:tcPr>
            <w:tcW w:w="622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考核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6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before="80"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48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06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59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学时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讲课</w:t>
            </w: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实验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上机</w:t>
            </w: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习题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课外</w:t>
            </w:r>
          </w:p>
        </w:tc>
        <w:tc>
          <w:tcPr>
            <w:tcW w:w="6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6" w:hRule="atLeast"/>
          <w:jc w:val="center"/>
        </w:trPr>
        <w:tc>
          <w:tcPr>
            <w:tcW w:w="5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秋季</w:t>
            </w: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22WHMT22001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zh-CN"/>
              </w:rPr>
              <w:t>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环境学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春季</w:t>
            </w: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22WHMT22002F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环境工程原理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22WHMT22003F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污染控制微生物学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5.5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  <w:tc>
          <w:tcPr>
            <w:tcW w:w="8300" w:type="dxa"/>
            <w:gridSpan w:val="10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264" w:lineRule="auto"/>
              <w:ind w:right="-107" w:rightChars="-51"/>
              <w:rPr>
                <w:rFonts w:hint="eastAsia" w:ascii="宋体" w:hAnsi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eastAsia="黑体"/>
          <w:b/>
          <w:color w:val="000000"/>
          <w:sz w:val="32"/>
        </w:rPr>
      </w:pPr>
      <w:r>
        <w:rPr>
          <w:rFonts w:hint="eastAsia" w:eastAsia="黑体"/>
          <w:b/>
          <w:sz w:val="32"/>
          <w:u w:val="none"/>
          <w:lang w:val="en-US" w:eastAsia="zh-CN"/>
        </w:rPr>
        <w:t>环境工程</w:t>
      </w:r>
      <w:r>
        <w:rPr>
          <w:rFonts w:hint="eastAsia" w:eastAsia="黑体"/>
          <w:b/>
          <w:sz w:val="32"/>
          <w:u w:val="none"/>
        </w:rPr>
        <w:t>辅修专业</w:t>
      </w:r>
      <w:r>
        <w:rPr>
          <w:rFonts w:hint="eastAsia" w:eastAsia="黑体"/>
          <w:b/>
          <w:sz w:val="32"/>
        </w:rPr>
        <w:t>第</w:t>
      </w:r>
      <w:r>
        <w:rPr>
          <w:rFonts w:hint="eastAsia" w:eastAsia="黑体"/>
          <w:b/>
          <w:sz w:val="32"/>
          <w:lang w:val="en-US" w:eastAsia="zh-CN"/>
        </w:rPr>
        <w:t>三</w:t>
      </w:r>
      <w:r>
        <w:rPr>
          <w:rFonts w:hint="eastAsia" w:eastAsia="黑体"/>
          <w:b/>
          <w:sz w:val="32"/>
        </w:rPr>
        <w:t>学年教学进程表</w:t>
      </w:r>
    </w:p>
    <w:tbl>
      <w:tblPr>
        <w:tblStyle w:val="4"/>
        <w:tblW w:w="88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3"/>
        <w:gridCol w:w="1648"/>
        <w:gridCol w:w="1706"/>
        <w:gridCol w:w="559"/>
        <w:gridCol w:w="627"/>
        <w:gridCol w:w="628"/>
        <w:gridCol w:w="627"/>
        <w:gridCol w:w="628"/>
        <w:gridCol w:w="627"/>
        <w:gridCol w:w="628"/>
        <w:gridCol w:w="6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3" w:hRule="atLeast"/>
          <w:jc w:val="center"/>
        </w:trPr>
        <w:tc>
          <w:tcPr>
            <w:tcW w:w="543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开课学期</w:t>
            </w:r>
          </w:p>
        </w:tc>
        <w:tc>
          <w:tcPr>
            <w:tcW w:w="1648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Cs w:val="18"/>
              </w:rPr>
            </w:pPr>
            <w:r>
              <w:rPr>
                <w:rFonts w:hint="eastAsia" w:ascii="宋体" w:hAnsi="宋体"/>
                <w:bCs/>
                <w:szCs w:val="18"/>
              </w:rPr>
              <w:t>课程编号</w:t>
            </w:r>
          </w:p>
        </w:tc>
        <w:tc>
          <w:tcPr>
            <w:tcW w:w="1706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  程  名  称</w:t>
            </w:r>
          </w:p>
        </w:tc>
        <w:tc>
          <w:tcPr>
            <w:tcW w:w="55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学分</w:t>
            </w:r>
          </w:p>
        </w:tc>
        <w:tc>
          <w:tcPr>
            <w:tcW w:w="3765" w:type="dxa"/>
            <w:gridSpan w:val="6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学  </w:t>
            </w:r>
            <w:r>
              <w:rPr>
                <w:rFonts w:ascii="宋体" w:hAnsi="宋体"/>
                <w:bCs/>
              </w:rPr>
              <w:t xml:space="preserve">  </w:t>
            </w:r>
            <w:r>
              <w:rPr>
                <w:rFonts w:hint="eastAsia" w:ascii="宋体" w:hAnsi="宋体"/>
                <w:bCs/>
              </w:rPr>
              <w:t xml:space="preserve">时  </w:t>
            </w:r>
            <w:r>
              <w:rPr>
                <w:rFonts w:ascii="宋体" w:hAnsi="宋体"/>
                <w:bCs/>
              </w:rPr>
              <w:t xml:space="preserve">  分</w:t>
            </w:r>
            <w:r>
              <w:rPr>
                <w:rFonts w:hint="eastAsia" w:ascii="宋体" w:hAnsi="宋体"/>
                <w:bCs/>
              </w:rPr>
              <w:t xml:space="preserve">  </w:t>
            </w:r>
            <w:r>
              <w:rPr>
                <w:rFonts w:ascii="宋体" w:hAnsi="宋体"/>
                <w:bCs/>
              </w:rPr>
              <w:t xml:space="preserve">  配</w:t>
            </w:r>
          </w:p>
        </w:tc>
        <w:tc>
          <w:tcPr>
            <w:tcW w:w="622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考核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6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before="80"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48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06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1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559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80" w:line="30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学时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讲课</w:t>
            </w: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实验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上机</w:t>
            </w: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习题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课外</w:t>
            </w:r>
          </w:p>
        </w:tc>
        <w:tc>
          <w:tcPr>
            <w:tcW w:w="6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秋季</w:t>
            </w: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22WHMT31001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zh-CN"/>
              </w:rPr>
              <w:t>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大气污染控制工程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22WHMT31002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zh-CN"/>
              </w:rPr>
              <w:t>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环境影响评价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4.5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8" w:hRule="atLeast"/>
          <w:jc w:val="center"/>
        </w:trPr>
        <w:tc>
          <w:tcPr>
            <w:tcW w:w="5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春季</w:t>
            </w: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22WHMT31003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zh-CN"/>
              </w:rPr>
              <w:t>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水污染控制工程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8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22WHMT31004</w:t>
            </w: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zh-CN"/>
              </w:rPr>
              <w:t>F</w:t>
            </w: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固体废弃物处理与</w:t>
            </w:r>
          </w:p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资源化利用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4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6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104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0"/>
                <w:szCs w:val="20"/>
                <w:lang w:val="en-US" w:eastAsia="zh-CN"/>
              </w:rPr>
              <w:t>96</w:t>
            </w:r>
            <w:bookmarkStart w:id="0" w:name="_GoBack"/>
            <w:bookmarkEnd w:id="0"/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备注</w:t>
            </w:r>
          </w:p>
        </w:tc>
        <w:tc>
          <w:tcPr>
            <w:tcW w:w="8300" w:type="dxa"/>
            <w:gridSpan w:val="10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264" w:lineRule="auto"/>
              <w:ind w:right="-107" w:rightChars="-51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eastAsia="黑体"/>
          <w:b/>
          <w:color w:val="000000"/>
          <w:sz w:val="32"/>
        </w:rPr>
      </w:pPr>
      <w:r>
        <w:rPr>
          <w:rFonts w:hint="eastAsia" w:eastAsia="黑体"/>
          <w:b/>
          <w:sz w:val="32"/>
          <w:u w:val="none"/>
          <w:lang w:val="en-US" w:eastAsia="zh-CN"/>
        </w:rPr>
        <w:t>环境工程</w:t>
      </w:r>
      <w:r>
        <w:rPr>
          <w:rFonts w:hint="eastAsia" w:eastAsia="黑体"/>
          <w:b/>
          <w:sz w:val="32"/>
          <w:u w:val="none"/>
        </w:rPr>
        <w:t>辅修专业</w:t>
      </w:r>
      <w:r>
        <w:rPr>
          <w:rFonts w:hint="eastAsia" w:eastAsia="黑体"/>
          <w:b/>
          <w:sz w:val="32"/>
        </w:rPr>
        <w:t>第</w:t>
      </w:r>
      <w:r>
        <w:rPr>
          <w:rFonts w:hint="eastAsia" w:eastAsia="黑体"/>
          <w:b/>
          <w:sz w:val="32"/>
          <w:lang w:val="en-US" w:eastAsia="zh-CN"/>
        </w:rPr>
        <w:t>四</w:t>
      </w:r>
      <w:r>
        <w:rPr>
          <w:rFonts w:hint="eastAsia" w:eastAsia="黑体"/>
          <w:b/>
          <w:sz w:val="32"/>
        </w:rPr>
        <w:t>学年教学进程表</w:t>
      </w:r>
    </w:p>
    <w:tbl>
      <w:tblPr>
        <w:tblStyle w:val="4"/>
        <w:tblW w:w="88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3"/>
        <w:gridCol w:w="1635"/>
        <w:gridCol w:w="1719"/>
        <w:gridCol w:w="559"/>
        <w:gridCol w:w="627"/>
        <w:gridCol w:w="628"/>
        <w:gridCol w:w="627"/>
        <w:gridCol w:w="628"/>
        <w:gridCol w:w="627"/>
        <w:gridCol w:w="628"/>
        <w:gridCol w:w="6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3" w:hRule="atLeast"/>
          <w:jc w:val="center"/>
        </w:trPr>
        <w:tc>
          <w:tcPr>
            <w:tcW w:w="543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开课学期</w:t>
            </w:r>
          </w:p>
        </w:tc>
        <w:tc>
          <w:tcPr>
            <w:tcW w:w="1635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课程编号</w:t>
            </w:r>
          </w:p>
        </w:tc>
        <w:tc>
          <w:tcPr>
            <w:tcW w:w="171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课  程  名  称</w:t>
            </w:r>
          </w:p>
        </w:tc>
        <w:tc>
          <w:tcPr>
            <w:tcW w:w="559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学分</w:t>
            </w:r>
          </w:p>
        </w:tc>
        <w:tc>
          <w:tcPr>
            <w:tcW w:w="3765" w:type="dxa"/>
            <w:gridSpan w:val="6"/>
            <w:tcBorders>
              <w:top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学    时    分    配</w:t>
            </w:r>
          </w:p>
        </w:tc>
        <w:tc>
          <w:tcPr>
            <w:tcW w:w="622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考核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6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before="80"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180"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19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180"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9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before="80"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学时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讲课</w:t>
            </w: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实验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上机</w:t>
            </w:r>
          </w:p>
        </w:tc>
        <w:tc>
          <w:tcPr>
            <w:tcW w:w="62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习题</w:t>
            </w:r>
          </w:p>
        </w:tc>
        <w:tc>
          <w:tcPr>
            <w:tcW w:w="628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</w:rPr>
              <w:t>课外</w:t>
            </w:r>
          </w:p>
        </w:tc>
        <w:tc>
          <w:tcPr>
            <w:tcW w:w="6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秋季</w:t>
            </w:r>
          </w:p>
        </w:tc>
        <w:tc>
          <w:tcPr>
            <w:tcW w:w="1635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22WHMT31005F</w:t>
            </w:r>
          </w:p>
        </w:tc>
        <w:tc>
          <w:tcPr>
            <w:tcW w:w="171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废水处理与回用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35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22WHMT31006F</w:t>
            </w:r>
          </w:p>
        </w:tc>
        <w:tc>
          <w:tcPr>
            <w:tcW w:w="171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水污染控制工程课程设计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 w:eastAsia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  <w:t>1周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3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35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2.5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1.5+1周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1" w:hRule="atLeast"/>
          <w:jc w:val="center"/>
        </w:trPr>
        <w:tc>
          <w:tcPr>
            <w:tcW w:w="5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春季</w:t>
            </w:r>
          </w:p>
        </w:tc>
        <w:tc>
          <w:tcPr>
            <w:tcW w:w="1635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22WHMT3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171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毕业设计（论文）</w:t>
            </w: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5.0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</w:rPr>
              <w:t>周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1" w:hRule="atLeast"/>
          <w:jc w:val="center"/>
        </w:trPr>
        <w:tc>
          <w:tcPr>
            <w:tcW w:w="5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635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ind w:left="-94" w:leftChars="-45" w:right="-107" w:rightChars="-51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  <w:t>5.0</w:t>
            </w: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sz w:val="20"/>
                <w:szCs w:val="20"/>
                <w:highlight w:val="none"/>
              </w:rPr>
              <w:t>周</w:t>
            </w: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widowControl/>
              <w:spacing w:line="264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color="auto" w:sz="6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543" w:type="dxa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备注</w:t>
            </w:r>
          </w:p>
        </w:tc>
        <w:tc>
          <w:tcPr>
            <w:tcW w:w="8300" w:type="dxa"/>
            <w:gridSpan w:val="10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widowControl/>
              <w:spacing w:line="264" w:lineRule="auto"/>
              <w:ind w:right="-107" w:rightChars="-51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iZmYyNGNjZDdlYjZmOGVjMGI4YTM1YTBiNzIxYjUifQ=="/>
  </w:docVars>
  <w:rsids>
    <w:rsidRoot w:val="37C834D7"/>
    <w:rsid w:val="0D9F1016"/>
    <w:rsid w:val="2838400F"/>
    <w:rsid w:val="2F407445"/>
    <w:rsid w:val="30674737"/>
    <w:rsid w:val="329A1673"/>
    <w:rsid w:val="37C834D7"/>
    <w:rsid w:val="3C1957CF"/>
    <w:rsid w:val="413F7518"/>
    <w:rsid w:val="52C364A6"/>
    <w:rsid w:val="762A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after="156" w:afterLines="50"/>
      <w:jc w:val="center"/>
      <w:outlineLvl w:val="0"/>
    </w:pPr>
    <w:rPr>
      <w:rFonts w:ascii="Times New Roman" w:hAnsi="Times New Roman" w:eastAsia="黑体" w:cs="Times New Roman"/>
      <w:b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618"/>
    </w:pPr>
    <w:rPr>
      <w:rFonts w:ascii="黑体" w:hAnsi="黑体" w:eastAsia="黑体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1931</Words>
  <Characters>2114</Characters>
  <Lines>0</Lines>
  <Paragraphs>0</Paragraphs>
  <TotalTime>16</TotalTime>
  <ScaleCrop>false</ScaleCrop>
  <LinksUpToDate>false</LinksUpToDate>
  <CharactersWithSpaces>2177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2023-06-30T11:57:00Z</dcterms:created>
  <dc:creator>Administrator</dc:creator>
  <cp:lastModifiedBy>Administrator</cp:lastModifiedBy>
  <dcterms:modified xsi:type="dcterms:W3CDTF">2023-07-05T02:34:52Z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AF6F6E31B5BC4FDA97392DD96258772B_11</vt:lpwstr>
  </property>
</Properties>
</file>