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125B" w14:textId="77777777" w:rsidR="00F17260" w:rsidRDefault="00F1726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23491521" w14:textId="77777777" w:rsidR="00F17260" w:rsidRDefault="001108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黑龙江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省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高等教育（本科、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研究生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）</w:t>
      </w:r>
    </w:p>
    <w:p w14:paraId="5960CB55" w14:textId="77777777" w:rsidR="00F17260" w:rsidRDefault="001108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教学成果奖评审工作安排</w:t>
      </w:r>
    </w:p>
    <w:p w14:paraId="6BE49DCE" w14:textId="77777777" w:rsidR="00F17260" w:rsidRDefault="00F1726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24D2BB23" w14:textId="77777777" w:rsidR="00F17260" w:rsidRDefault="001108C2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奖励</w:t>
      </w:r>
      <w:r>
        <w:rPr>
          <w:rFonts w:ascii="Times New Roman" w:eastAsia="黑体" w:hAnsi="Times New Roman"/>
          <w:sz w:val="32"/>
          <w:szCs w:val="32"/>
        </w:rPr>
        <w:t>范围</w:t>
      </w:r>
    </w:p>
    <w:p w14:paraId="144BDA0D" w14:textId="77777777" w:rsidR="00F17260" w:rsidRDefault="001108C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（一）本科教育</w:t>
      </w:r>
    </w:p>
    <w:p w14:paraId="5561ABAE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黑龙江省高等教育（本科）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奖应贯彻落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实习近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平总书记关于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教育的重要论述，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坚持立德树人根本任务，反映学生成长成才规律和高等教育教学规律，突出学校教育教学改革成效。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成果内容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主要包括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但不限于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转变教育思想观念、创新人才培养模式、改革人才培养机制、加强一流专业和“四新”专业建设、推进一流课程建设及优质课程资源共享、全面实施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、实施教材精品战略、强化创新创业精神和实践能力培养、加强教学质量保障和深化教育评价改革、提升教师能力素质、深化教学管理机制改革、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加强实习实践、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全面推进素质教育等方面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突出教育教学改革创新，具有独创性、新颖性和实用性，能针对高等教育教学改革中存在的问题提出有效解决办法，对提高教学水平和教育质量产生明显效果，具有推广应用价值。</w:t>
      </w:r>
    </w:p>
    <w:p w14:paraId="6FC32D0E" w14:textId="77777777" w:rsidR="00F17260" w:rsidRDefault="001108C2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  <w:lang w:bidi="ar"/>
        </w:rPr>
        <w:t>（二）研究生教育</w:t>
      </w:r>
    </w:p>
    <w:p w14:paraId="6DCE9AB8" w14:textId="77777777" w:rsidR="00F17260" w:rsidRDefault="001108C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黑龙江省高等教育（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奖应深入贯彻落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平总书记关于教育的重要论述和对研究生教育工作的重要指示精神，在研究生教育教学改革方面取得重大突破和重要成果，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在人才培养的实践、改革、研究中发挥示范引领和激励作用。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成果内容主要包括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但不限于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加强思想政治教育、深化评价机制改革、优化学科专业结构、推进科教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、深化产教融合、加强急需高层次人才培养、加强课程建设、提升导师队伍水平、强化培养过程管理等方面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24A5F98" w14:textId="77777777" w:rsidR="00F17260" w:rsidRDefault="001108C2">
      <w:pPr>
        <w:overflowPunct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二、成果要求</w:t>
      </w:r>
    </w:p>
    <w:p w14:paraId="0594C3DE" w14:textId="77777777" w:rsidR="00F17260" w:rsidRDefault="001108C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黑龙江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高等教育（本科、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奖</w:t>
      </w:r>
      <w:r>
        <w:rPr>
          <w:rFonts w:ascii="仿宋_GB2312" w:eastAsia="仿宋_GB2312" w:hAnsi="仿宋_GB2312" w:cs="仿宋_GB2312" w:hint="eastAsia"/>
          <w:sz w:val="32"/>
          <w:szCs w:val="32"/>
        </w:rPr>
        <w:t>应符合下列要求：</w:t>
      </w:r>
    </w:p>
    <w:p w14:paraId="600935E4" w14:textId="77777777" w:rsidR="00F17260" w:rsidRDefault="001108C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须</w:t>
      </w:r>
      <w:r>
        <w:rPr>
          <w:rFonts w:ascii="仿宋_GB2312" w:eastAsia="仿宋_GB2312" w:hAnsi="仿宋_GB2312" w:cs="仿宋_GB2312" w:hint="eastAsia"/>
          <w:sz w:val="32"/>
          <w:szCs w:val="32"/>
        </w:rPr>
        <w:t>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年以上教育教学实践检验（特等奖和一等奖的成果一般应经过不</w:t>
      </w:r>
      <w:r>
        <w:rPr>
          <w:rFonts w:ascii="仿宋_GB2312" w:eastAsia="仿宋_GB2312" w:hAnsi="仿宋_GB2312" w:cs="仿宋_GB2312" w:hint="eastAsia"/>
          <w:sz w:val="32"/>
          <w:szCs w:val="32"/>
        </w:rPr>
        <w:t>少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年的教育教学实践检验），实践检验的起始时间，应从正式实施（包括试行）教育教学方案的时间开始计算，不含研讨、论证及制定方案的时间。</w:t>
      </w:r>
    </w:p>
    <w:p w14:paraId="220E2579" w14:textId="77777777" w:rsidR="00F17260" w:rsidRDefault="001108C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完成人应直接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成果的方案设计、论证和实施全过程，并做出主要贡献。成果的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完成单位应为成果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完成人所在单位，并在成果的方案设计、论证、研究和实践的全过程中做出主要贡献。成果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完成人单位发生变化的，以成果实施过程中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主要贡献的单位为准。教学成果由两个以上单位或个人共同完成的，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可联合申请，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由成果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第一完成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单位或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人所在单位提出申请。</w:t>
      </w:r>
    </w:p>
    <w:p w14:paraId="55E39E67" w14:textId="77777777" w:rsidR="00F17260" w:rsidRDefault="001108C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）已获得过国家级或省级教学成果奖的成果，在内容基本相同或无特别创新的情况下，不得重复申报。已获得省级及以上优秀教材奖的教材不得再次申报。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临时拼凑和随意撮合成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相关材料严禁重复使用。</w:t>
      </w:r>
    </w:p>
    <w:p w14:paraId="5994C0A5" w14:textId="77777777" w:rsidR="00F17260" w:rsidRDefault="001108C2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作为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第一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完成人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或其他完成人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申报的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本科和研究生教育教学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成果限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教育教学成果只能选择本科或研究生其中之一申报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。内容相同或相似的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教育教学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成果限报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项。</w:t>
      </w:r>
    </w:p>
    <w:p w14:paraId="03D64318" w14:textId="77777777" w:rsidR="00F17260" w:rsidRDefault="001108C2">
      <w:pPr>
        <w:overflowPunct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现任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领导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以申报时间为准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作为成果第一完成人的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成果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其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数量不得超过所在高校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推荐成果总数的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0%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研究生和本科分别计算总量基数。（学校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推荐数量不足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项的，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领导可在本科或研究生教育选择申报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</w:t>
      </w:r>
    </w:p>
    <w:p w14:paraId="20C0CB6B" w14:textId="77777777" w:rsidR="00F17260" w:rsidRDefault="001108C2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三、申报</w:t>
      </w:r>
      <w:r>
        <w:rPr>
          <w:rFonts w:ascii="Times New Roman" w:eastAsia="黑体" w:hAnsi="Times New Roman"/>
          <w:sz w:val="32"/>
          <w:szCs w:val="32"/>
        </w:rPr>
        <w:t>程序</w:t>
      </w:r>
    </w:p>
    <w:p w14:paraId="3D91A7B1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）符合条件的教学成果，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由成果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的第一完成人填写《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黑龙江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高等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本科、研究生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教学成果奖申请书》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教学成果报告、教学成果应用及效果证明材料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向所在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3032D16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制定遴选推荐工作方案，严格工作程序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组织择优遴选，按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本科、研究生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分别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做好推荐成果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完成人</w:t>
      </w:r>
      <w:r>
        <w:rPr>
          <w:rFonts w:ascii="仿宋_GB2312" w:eastAsia="仿宋_GB2312" w:hAnsi="仿宋_GB2312" w:cs="仿宋_GB2312" w:hint="eastAsia"/>
          <w:sz w:val="32"/>
          <w:szCs w:val="32"/>
        </w:rPr>
        <w:t>的资格审查，确保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推荐的教学成果不分等级。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将拟推荐教学成果奖名单（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含成果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名称、主要完成人等基本信息）在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门户网站公示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推荐单位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申请书及所涉及的论文、教材、各类获奖情况等支撑材料的准确性、真实性、合法性和有效性负责审查，一经发现弄虚作假行为，将依规严肃处理，取消所在单位推荐资格。</w:t>
      </w:r>
    </w:p>
    <w:p w14:paraId="018A281D" w14:textId="77777777" w:rsidR="00F17260" w:rsidRDefault="001108C2">
      <w:pP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</w:t>
      </w:r>
      <w:r>
        <w:rPr>
          <w:rFonts w:ascii="Times New Roman" w:eastAsia="黑体" w:hAnsi="Times New Roman"/>
          <w:sz w:val="32"/>
          <w:szCs w:val="32"/>
        </w:rPr>
        <w:t>成果评审</w:t>
      </w:r>
    </w:p>
    <w:p w14:paraId="632542F4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FF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lastRenderedPageBreak/>
        <w:t>省教育厅组建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黑龙江省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高等教育（本科）和高等教育（研究生）省级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教学成果奖评审委员会，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负责组织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评审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并审议提出</w:t>
      </w:r>
      <w: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  <w:t>获奖成果、奖励等级的建议，研究评审工作中的有关问题并提供咨询意见。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评审委员会设秘书处分别设在高等教育处、学位管理与研究生教育处。</w:t>
      </w:r>
    </w:p>
    <w:p w14:paraId="239B121D" w14:textId="77777777" w:rsidR="00F17260" w:rsidRDefault="001108C2">
      <w:pPr>
        <w:overflowPunct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</w:t>
      </w:r>
      <w:r>
        <w:rPr>
          <w:rFonts w:ascii="Times New Roman" w:eastAsia="黑体" w:hAnsi="Times New Roman"/>
          <w:sz w:val="32"/>
          <w:szCs w:val="32"/>
        </w:rPr>
        <w:t>材料</w:t>
      </w:r>
      <w:r>
        <w:rPr>
          <w:rFonts w:ascii="Times New Roman" w:eastAsia="黑体" w:hAnsi="Times New Roman" w:hint="eastAsia"/>
          <w:sz w:val="32"/>
          <w:szCs w:val="32"/>
        </w:rPr>
        <w:t>报送</w:t>
      </w:r>
    </w:p>
    <w:p w14:paraId="43A9F2B4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申报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年黑龙江省高等教育（本科、研究生）教学成果奖，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通过黑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龙江省高等学校教育教学数字智慧平台（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lang w:bidi="ar"/>
        </w:rPr>
        <w:t>网址：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fldChar w:fldCharType="begin"/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instrText xml:space="preserve"> HYPERLINK "https://hlj.microton.cn/</w:instrTex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instrText>）进行申报推荐工作，登录用户名、密码将单独发送至学校联系人。</w:instrTex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instrText xml:space="preserve">" </w:instrTex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fldChar w:fldCharType="separate"/>
      </w:r>
      <w:r>
        <w:rPr>
          <w:rStyle w:val="a9"/>
          <w:rFonts w:ascii="仿宋_GB2312" w:eastAsia="仿宋_GB2312" w:hAnsi="仿宋_GB2312" w:cs="仿宋_GB2312" w:hint="eastAsia"/>
          <w:color w:val="auto"/>
          <w:kern w:val="0"/>
          <w:sz w:val="32"/>
          <w:szCs w:val="32"/>
          <w:u w:val="none"/>
          <w:lang w:bidi="ar"/>
        </w:rPr>
        <w:t>https://hlj.microton.cn/</w:t>
      </w:r>
      <w:r>
        <w:rPr>
          <w:rStyle w:val="a9"/>
          <w:rFonts w:ascii="仿宋_GB2312" w:eastAsia="仿宋_GB2312" w:hAnsi="仿宋_GB2312" w:cs="仿宋_GB2312" w:hint="eastAsia"/>
          <w:color w:val="auto"/>
          <w:kern w:val="0"/>
          <w:sz w:val="32"/>
          <w:szCs w:val="32"/>
          <w:u w:val="none"/>
          <w:lang w:bidi="ar"/>
        </w:rPr>
        <w:t>）进行</w:t>
      </w:r>
      <w:r>
        <w:rPr>
          <w:rStyle w:val="a9"/>
          <w:rFonts w:ascii="仿宋_GB2312" w:eastAsia="仿宋_GB2312" w:hAnsi="仿宋_GB2312" w:cs="仿宋_GB2312" w:hint="eastAsia"/>
          <w:color w:val="auto"/>
          <w:kern w:val="0"/>
          <w:sz w:val="32"/>
          <w:szCs w:val="32"/>
          <w:u w:val="none"/>
          <w:lang w:bidi="ar"/>
        </w:rPr>
        <w:t>材料报送</w:t>
      </w:r>
      <w:r>
        <w:rPr>
          <w:rStyle w:val="a9"/>
          <w:rFonts w:ascii="仿宋_GB2312" w:eastAsia="仿宋_GB2312" w:hAnsi="仿宋_GB2312" w:cs="仿宋_GB2312" w:hint="eastAsia"/>
          <w:color w:val="auto"/>
          <w:kern w:val="0"/>
          <w:sz w:val="32"/>
          <w:szCs w:val="32"/>
          <w:u w:val="none"/>
          <w:lang w:bidi="ar"/>
        </w:rPr>
        <w:t>。</w:t>
      </w:r>
      <w:r>
        <w:rPr>
          <w:rStyle w:val="a9"/>
          <w:rFonts w:ascii="仿宋_GB2312" w:eastAsia="仿宋_GB2312" w:hAnsi="仿宋_GB2312" w:cs="仿宋_GB2312" w:hint="eastAsia"/>
          <w:color w:val="auto"/>
          <w:kern w:val="0"/>
          <w:sz w:val="32"/>
          <w:szCs w:val="32"/>
          <w:u w:val="none"/>
          <w:lang w:bidi="ar"/>
        </w:rPr>
        <w:t>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eastAsia="zh-Hans" w:bidi="ar"/>
        </w:rPr>
        <w:t>各申报单位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日在平台提交以下材料：</w:t>
      </w:r>
    </w:p>
    <w:p w14:paraId="46C7D80F" w14:textId="77777777" w:rsidR="00F17260" w:rsidRDefault="001108C2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各申报成果的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黑龙江省高等教育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本科、研究生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教学成果奖申请书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教学成果报告，以及教学成果应用及效果证明材料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5C8E2550" w14:textId="77777777" w:rsidR="00F17260" w:rsidRDefault="001108C2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能够反映成果质量和水平的论文、奖励、报道、研究报告等支撑或旁证材料；其他与成果有关的材料。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26AF80EC" w14:textId="77777777" w:rsidR="00F17260" w:rsidRDefault="001108C2">
      <w:pPr>
        <w:overflowPunct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成果如为教材，需提交教材封面、出版信息页、目录及精选内容等。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60C6504C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黑龙江省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高等教育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教学成果奖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汇总表》《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黑龙江省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高等教育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研究生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教学成果奖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汇总表》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EXCEL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和网站公示截图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D186D39" w14:textId="77777777" w:rsidR="00F17260" w:rsidRDefault="001108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联系人：高等教育处，刘洋，</w:t>
      </w:r>
      <w:r>
        <w:rPr>
          <w:rFonts w:ascii="仿宋_GB2312" w:eastAsia="仿宋_GB2312" w:hAnsi="仿宋_GB2312" w:cs="仿宋_GB2312" w:hint="eastAsia"/>
          <w:sz w:val="32"/>
          <w:szCs w:val="32"/>
        </w:rPr>
        <w:t>0451-53627347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B78CDD5" w14:textId="77777777" w:rsidR="00F17260" w:rsidRDefault="001108C2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学位管理与研究生教育处，赵阳，</w:t>
      </w:r>
      <w:r>
        <w:rPr>
          <w:rFonts w:ascii="仿宋_GB2312" w:eastAsia="仿宋_GB2312" w:hAnsi="仿宋_GB2312" w:cs="仿宋_GB2312" w:hint="eastAsia"/>
          <w:sz w:val="32"/>
          <w:szCs w:val="32"/>
        </w:rPr>
        <w:t>0451-53638218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5EDD87" w14:textId="77777777" w:rsidR="00F17260" w:rsidRDefault="00F17260">
      <w:pPr>
        <w:spacing w:line="560" w:lineRule="exact"/>
        <w:ind w:leftChars="304" w:left="2238" w:hangingChars="500" w:hanging="1600"/>
        <w:rPr>
          <w:rFonts w:ascii="仿宋_GB2312" w:eastAsia="仿宋_GB2312" w:hAnsi="仿宋_GB2312" w:cs="仿宋_GB2312"/>
          <w:color w:val="0000FF"/>
          <w:kern w:val="0"/>
          <w:sz w:val="32"/>
          <w:szCs w:val="32"/>
          <w:lang w:bidi="ar"/>
        </w:rPr>
      </w:pPr>
    </w:p>
    <w:p w14:paraId="2AD65F53" w14:textId="77777777" w:rsidR="00F17260" w:rsidRDefault="001108C2">
      <w:pPr>
        <w:spacing w:line="560" w:lineRule="exact"/>
        <w:ind w:leftChars="304" w:left="2238" w:hangingChars="500" w:hanging="160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-1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黑龙江省高等教育（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本科、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研究生）教学成果奖申请书</w:t>
      </w:r>
    </w:p>
    <w:p w14:paraId="31EFDF68" w14:textId="77777777" w:rsidR="00F17260" w:rsidRDefault="001108C2">
      <w:pPr>
        <w:spacing w:line="560" w:lineRule="exact"/>
        <w:ind w:leftChars="760" w:left="2236" w:hangingChars="200" w:hanging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2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黑龙江省高等教育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本科、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研究生）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教学成果奖申请书填报说明</w:t>
      </w:r>
    </w:p>
    <w:p w14:paraId="749CE668" w14:textId="77777777" w:rsidR="00F17260" w:rsidRDefault="001108C2">
      <w:pPr>
        <w:spacing w:line="560" w:lineRule="exact"/>
        <w:ind w:leftChars="760" w:left="2236" w:hangingChars="200" w:hanging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3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奖完成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人（非第一完成单位）政治审查表</w:t>
      </w:r>
    </w:p>
    <w:p w14:paraId="4B0D646D" w14:textId="77777777" w:rsidR="00F17260" w:rsidRDefault="001108C2">
      <w:pPr>
        <w:spacing w:line="560" w:lineRule="exact"/>
        <w:ind w:leftChars="760" w:left="2236" w:hangingChars="200" w:hanging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4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年黑龙江省高等教育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本科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教学成果奖推荐汇总表</w:t>
      </w:r>
    </w:p>
    <w:p w14:paraId="643344A6" w14:textId="77777777" w:rsidR="00F17260" w:rsidRDefault="001108C2">
      <w:pPr>
        <w:spacing w:line="560" w:lineRule="exact"/>
        <w:ind w:leftChars="760" w:left="2236" w:hangingChars="200" w:hanging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-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 xml:space="preserve">5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年黑龙江省高等教育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（研究生）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教学成果奖推荐汇总表</w:t>
      </w:r>
    </w:p>
    <w:p w14:paraId="5A5CD1B0" w14:textId="77777777" w:rsidR="00F17260" w:rsidRDefault="00F17260">
      <w:pPr>
        <w:spacing w:line="560" w:lineRule="exact"/>
        <w:ind w:leftChars="760" w:left="2236" w:hangingChars="200" w:hanging="640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</w:p>
    <w:sectPr w:rsidR="00F17260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6D10" w14:textId="77777777" w:rsidR="001108C2" w:rsidRDefault="001108C2">
      <w:r>
        <w:separator/>
      </w:r>
    </w:p>
  </w:endnote>
  <w:endnote w:type="continuationSeparator" w:id="0">
    <w:p w14:paraId="4B81E695" w14:textId="77777777" w:rsidR="001108C2" w:rsidRDefault="001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7F23" w14:textId="77777777" w:rsidR="00F17260" w:rsidRDefault="001108C2">
    <w:pPr>
      <w:pStyle w:val="a4"/>
    </w:pPr>
    <w:r>
      <w:pict w14:anchorId="450B94D6">
        <v:rect id="文本框 3" o:spid="_x0000_s2049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5D325E1" w14:textId="77777777" w:rsidR="00F17260" w:rsidRDefault="001108C2">
                <w:pPr>
                  <w:pStyle w:val="a4"/>
                  <w:rPr>
                    <w:rStyle w:val="a8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8"/>
                    <w:rFonts w:ascii="宋体" w:hAnsi="宋体" w:hint="eastAsia"/>
                    <w:kern w:val="2"/>
                    <w:sz w:val="28"/>
                    <w:szCs w:val="28"/>
                  </w:rPr>
                  <w:t>—</w:t>
                </w:r>
                <w:r>
                  <w:rPr>
                    <w:rStyle w:val="a8"/>
                    <w:rFonts w:ascii="宋体" w:hAnsi="宋体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/>
                    <w:kern w:val="2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8"/>
                    <w:rFonts w:ascii="宋体" w:hAnsi="宋体"/>
                    <w:kern w:val="2"/>
                    <w:sz w:val="28"/>
                    <w:szCs w:val="28"/>
                  </w:rPr>
                  <w:t>11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hint="eastAsia"/>
                    <w:kern w:val="2"/>
                    <w:sz w:val="28"/>
                    <w:szCs w:val="28"/>
                  </w:rPr>
                  <w:t xml:space="preserve"> </w:t>
                </w:r>
                <w:r>
                  <w:rPr>
                    <w:rStyle w:val="a8"/>
                    <w:rFonts w:ascii="宋体" w:hAnsi="宋体" w:hint="eastAsia"/>
                    <w:kern w:val="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D25D" w14:textId="77777777" w:rsidR="001108C2" w:rsidRDefault="001108C2">
      <w:r>
        <w:separator/>
      </w:r>
    </w:p>
  </w:footnote>
  <w:footnote w:type="continuationSeparator" w:id="0">
    <w:p w14:paraId="22C4D1D6" w14:textId="77777777" w:rsidR="001108C2" w:rsidRDefault="00110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A352" w14:textId="77777777" w:rsidR="00F17260" w:rsidRDefault="00F172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005C5222"/>
    <w:rsid w:val="0004387F"/>
    <w:rsid w:val="000A3814"/>
    <w:rsid w:val="001108C2"/>
    <w:rsid w:val="001F392C"/>
    <w:rsid w:val="002D1CE4"/>
    <w:rsid w:val="005C5222"/>
    <w:rsid w:val="00A93CEE"/>
    <w:rsid w:val="00D207A1"/>
    <w:rsid w:val="00F17260"/>
    <w:rsid w:val="0196601E"/>
    <w:rsid w:val="0217587D"/>
    <w:rsid w:val="024159EA"/>
    <w:rsid w:val="03DE5A5A"/>
    <w:rsid w:val="045126D0"/>
    <w:rsid w:val="05344142"/>
    <w:rsid w:val="05AC4062"/>
    <w:rsid w:val="060A6FDB"/>
    <w:rsid w:val="064047AA"/>
    <w:rsid w:val="065F7326"/>
    <w:rsid w:val="0687687D"/>
    <w:rsid w:val="07EA0E72"/>
    <w:rsid w:val="07F85D57"/>
    <w:rsid w:val="08233F19"/>
    <w:rsid w:val="083D5445"/>
    <w:rsid w:val="085207C5"/>
    <w:rsid w:val="087D5842"/>
    <w:rsid w:val="08856DEC"/>
    <w:rsid w:val="08CA47FF"/>
    <w:rsid w:val="0935611C"/>
    <w:rsid w:val="09532A47"/>
    <w:rsid w:val="0A173674"/>
    <w:rsid w:val="0AA23C86"/>
    <w:rsid w:val="0B1306DF"/>
    <w:rsid w:val="0B24469B"/>
    <w:rsid w:val="0B770C6E"/>
    <w:rsid w:val="0BBC2E35"/>
    <w:rsid w:val="0BE8391A"/>
    <w:rsid w:val="0BFA364D"/>
    <w:rsid w:val="0C232BA4"/>
    <w:rsid w:val="0C3B6140"/>
    <w:rsid w:val="0CF167FE"/>
    <w:rsid w:val="0DC91529"/>
    <w:rsid w:val="0DED16BC"/>
    <w:rsid w:val="0E7D2A40"/>
    <w:rsid w:val="0EAF6971"/>
    <w:rsid w:val="0F1A25CA"/>
    <w:rsid w:val="0F2C7FC2"/>
    <w:rsid w:val="0FA1450C"/>
    <w:rsid w:val="0FB83603"/>
    <w:rsid w:val="0FFC7994"/>
    <w:rsid w:val="10233173"/>
    <w:rsid w:val="10B14C22"/>
    <w:rsid w:val="11252F1A"/>
    <w:rsid w:val="113A4C18"/>
    <w:rsid w:val="113E5D8A"/>
    <w:rsid w:val="11990339"/>
    <w:rsid w:val="126006AE"/>
    <w:rsid w:val="12A8795F"/>
    <w:rsid w:val="12AA7B7B"/>
    <w:rsid w:val="12EA61CA"/>
    <w:rsid w:val="12EF1A32"/>
    <w:rsid w:val="13742D5D"/>
    <w:rsid w:val="14153FD6"/>
    <w:rsid w:val="143A0A8B"/>
    <w:rsid w:val="14E8498B"/>
    <w:rsid w:val="14F43330"/>
    <w:rsid w:val="150A2B53"/>
    <w:rsid w:val="15437E13"/>
    <w:rsid w:val="15451DDD"/>
    <w:rsid w:val="15604521"/>
    <w:rsid w:val="18D832E3"/>
    <w:rsid w:val="18FF04F5"/>
    <w:rsid w:val="19520625"/>
    <w:rsid w:val="19913482"/>
    <w:rsid w:val="1A09075B"/>
    <w:rsid w:val="1A400DC5"/>
    <w:rsid w:val="1A4240A2"/>
    <w:rsid w:val="1A6A7BF0"/>
    <w:rsid w:val="1AE94FB9"/>
    <w:rsid w:val="1B6A170F"/>
    <w:rsid w:val="1C597F1C"/>
    <w:rsid w:val="1DA6129D"/>
    <w:rsid w:val="1DDC5AED"/>
    <w:rsid w:val="1E4569AA"/>
    <w:rsid w:val="1EAE5C65"/>
    <w:rsid w:val="1ECA6EAF"/>
    <w:rsid w:val="1F501AAA"/>
    <w:rsid w:val="1F9279CD"/>
    <w:rsid w:val="1FED72F9"/>
    <w:rsid w:val="20032679"/>
    <w:rsid w:val="204F1D62"/>
    <w:rsid w:val="205D447F"/>
    <w:rsid w:val="205E3D53"/>
    <w:rsid w:val="211F7986"/>
    <w:rsid w:val="21664B31"/>
    <w:rsid w:val="21921F06"/>
    <w:rsid w:val="21A47E8B"/>
    <w:rsid w:val="21B1337E"/>
    <w:rsid w:val="21BA76AF"/>
    <w:rsid w:val="22925F36"/>
    <w:rsid w:val="23111551"/>
    <w:rsid w:val="23151041"/>
    <w:rsid w:val="233F60BE"/>
    <w:rsid w:val="23595A47"/>
    <w:rsid w:val="23BD6FE3"/>
    <w:rsid w:val="23E70715"/>
    <w:rsid w:val="23EC3B4C"/>
    <w:rsid w:val="240F3CE2"/>
    <w:rsid w:val="24487BCC"/>
    <w:rsid w:val="249E6CBA"/>
    <w:rsid w:val="256C76A0"/>
    <w:rsid w:val="25E92311"/>
    <w:rsid w:val="260A2F54"/>
    <w:rsid w:val="26E36D60"/>
    <w:rsid w:val="26F1147D"/>
    <w:rsid w:val="26F176CF"/>
    <w:rsid w:val="273376C0"/>
    <w:rsid w:val="275B2A8B"/>
    <w:rsid w:val="27693709"/>
    <w:rsid w:val="27B54BA0"/>
    <w:rsid w:val="27D668C5"/>
    <w:rsid w:val="285A74F6"/>
    <w:rsid w:val="28AD3976"/>
    <w:rsid w:val="28E05C4D"/>
    <w:rsid w:val="28E11370"/>
    <w:rsid w:val="295403E9"/>
    <w:rsid w:val="296E2A6A"/>
    <w:rsid w:val="2A3608D2"/>
    <w:rsid w:val="2AD57308"/>
    <w:rsid w:val="2B1353A2"/>
    <w:rsid w:val="2B8F5708"/>
    <w:rsid w:val="2BC2163A"/>
    <w:rsid w:val="2BCC4267"/>
    <w:rsid w:val="2CFC6DCE"/>
    <w:rsid w:val="2D267460"/>
    <w:rsid w:val="2D990AC0"/>
    <w:rsid w:val="2EB23BE8"/>
    <w:rsid w:val="2EE31FF3"/>
    <w:rsid w:val="2F5727BC"/>
    <w:rsid w:val="2FF724B1"/>
    <w:rsid w:val="309335A5"/>
    <w:rsid w:val="30C710C0"/>
    <w:rsid w:val="30C96FC7"/>
    <w:rsid w:val="316F4012"/>
    <w:rsid w:val="32794A1C"/>
    <w:rsid w:val="32F12805"/>
    <w:rsid w:val="33631290"/>
    <w:rsid w:val="33641229"/>
    <w:rsid w:val="336E5173"/>
    <w:rsid w:val="33884F17"/>
    <w:rsid w:val="34AC10D9"/>
    <w:rsid w:val="35550248"/>
    <w:rsid w:val="359F29EC"/>
    <w:rsid w:val="362829E1"/>
    <w:rsid w:val="36BD312A"/>
    <w:rsid w:val="3733163E"/>
    <w:rsid w:val="38203594"/>
    <w:rsid w:val="382D2531"/>
    <w:rsid w:val="39027EFE"/>
    <w:rsid w:val="390C0398"/>
    <w:rsid w:val="39702B96"/>
    <w:rsid w:val="39DF3CFF"/>
    <w:rsid w:val="3A3C4CAD"/>
    <w:rsid w:val="3A8476E7"/>
    <w:rsid w:val="3AD44EE6"/>
    <w:rsid w:val="3AF410E4"/>
    <w:rsid w:val="3BA50630"/>
    <w:rsid w:val="3BF05D4F"/>
    <w:rsid w:val="3C0B4937"/>
    <w:rsid w:val="3C373913"/>
    <w:rsid w:val="3C4D31A2"/>
    <w:rsid w:val="3C7E52D8"/>
    <w:rsid w:val="3CC05722"/>
    <w:rsid w:val="3DE10046"/>
    <w:rsid w:val="3E2B0199"/>
    <w:rsid w:val="3EEF22EE"/>
    <w:rsid w:val="3F1B1335"/>
    <w:rsid w:val="400E2C48"/>
    <w:rsid w:val="402E5098"/>
    <w:rsid w:val="404D19C2"/>
    <w:rsid w:val="40A216C1"/>
    <w:rsid w:val="4100148C"/>
    <w:rsid w:val="411B386E"/>
    <w:rsid w:val="41200E85"/>
    <w:rsid w:val="41656898"/>
    <w:rsid w:val="420662CD"/>
    <w:rsid w:val="42537038"/>
    <w:rsid w:val="42A930FC"/>
    <w:rsid w:val="42CA554C"/>
    <w:rsid w:val="43C612BB"/>
    <w:rsid w:val="44044A8E"/>
    <w:rsid w:val="45296B3B"/>
    <w:rsid w:val="45653253"/>
    <w:rsid w:val="45C269AF"/>
    <w:rsid w:val="460074D7"/>
    <w:rsid w:val="46902609"/>
    <w:rsid w:val="469A5235"/>
    <w:rsid w:val="46B35332"/>
    <w:rsid w:val="46BB09F6"/>
    <w:rsid w:val="47024B89"/>
    <w:rsid w:val="47774973"/>
    <w:rsid w:val="478A52AA"/>
    <w:rsid w:val="479C68A6"/>
    <w:rsid w:val="47A67C0A"/>
    <w:rsid w:val="47AF130B"/>
    <w:rsid w:val="47C00CCC"/>
    <w:rsid w:val="48711FC6"/>
    <w:rsid w:val="48BA1BBF"/>
    <w:rsid w:val="48C9761A"/>
    <w:rsid w:val="493F0316"/>
    <w:rsid w:val="497C7C92"/>
    <w:rsid w:val="4981092F"/>
    <w:rsid w:val="4A037596"/>
    <w:rsid w:val="4A1C41B3"/>
    <w:rsid w:val="4A317C5F"/>
    <w:rsid w:val="4A804FF1"/>
    <w:rsid w:val="4A897A9B"/>
    <w:rsid w:val="4C0F3FD0"/>
    <w:rsid w:val="4C2C4B82"/>
    <w:rsid w:val="4C6C7774"/>
    <w:rsid w:val="4D9A1FBF"/>
    <w:rsid w:val="4DAB41CC"/>
    <w:rsid w:val="4DB82445"/>
    <w:rsid w:val="4EBA588F"/>
    <w:rsid w:val="4ED17C62"/>
    <w:rsid w:val="4F9D1E71"/>
    <w:rsid w:val="4F9D711A"/>
    <w:rsid w:val="4FE37C4D"/>
    <w:rsid w:val="506F14E1"/>
    <w:rsid w:val="50B67110"/>
    <w:rsid w:val="50BB0282"/>
    <w:rsid w:val="528079D5"/>
    <w:rsid w:val="529E42FF"/>
    <w:rsid w:val="52A42F98"/>
    <w:rsid w:val="52C131AC"/>
    <w:rsid w:val="52E8557B"/>
    <w:rsid w:val="53CB1124"/>
    <w:rsid w:val="53CD7B39"/>
    <w:rsid w:val="547D3647"/>
    <w:rsid w:val="54B03E76"/>
    <w:rsid w:val="54C341E7"/>
    <w:rsid w:val="553C5568"/>
    <w:rsid w:val="557D644E"/>
    <w:rsid w:val="559B0682"/>
    <w:rsid w:val="55CC65A4"/>
    <w:rsid w:val="565847C5"/>
    <w:rsid w:val="570010E5"/>
    <w:rsid w:val="570F30D6"/>
    <w:rsid w:val="5737262D"/>
    <w:rsid w:val="57F81DBC"/>
    <w:rsid w:val="585F1A31"/>
    <w:rsid w:val="585F2102"/>
    <w:rsid w:val="587A6C75"/>
    <w:rsid w:val="5887032B"/>
    <w:rsid w:val="58A67A6A"/>
    <w:rsid w:val="58B65113"/>
    <w:rsid w:val="58FF53CC"/>
    <w:rsid w:val="599C0E6D"/>
    <w:rsid w:val="5A875679"/>
    <w:rsid w:val="5B2673E2"/>
    <w:rsid w:val="5BAF4E87"/>
    <w:rsid w:val="5BD448EE"/>
    <w:rsid w:val="5C447CC6"/>
    <w:rsid w:val="5C8B76A2"/>
    <w:rsid w:val="5CD35141"/>
    <w:rsid w:val="5D2673CB"/>
    <w:rsid w:val="5D494E68"/>
    <w:rsid w:val="5D544D6E"/>
    <w:rsid w:val="5D5850AB"/>
    <w:rsid w:val="5D647EF4"/>
    <w:rsid w:val="5DCF4CE6"/>
    <w:rsid w:val="5E244E0E"/>
    <w:rsid w:val="5EC40C4A"/>
    <w:rsid w:val="6025396A"/>
    <w:rsid w:val="60D96503"/>
    <w:rsid w:val="619821FD"/>
    <w:rsid w:val="619863BE"/>
    <w:rsid w:val="623600B0"/>
    <w:rsid w:val="62436329"/>
    <w:rsid w:val="62C7450D"/>
    <w:rsid w:val="63295B8F"/>
    <w:rsid w:val="63576530"/>
    <w:rsid w:val="635974FF"/>
    <w:rsid w:val="63636B3B"/>
    <w:rsid w:val="637F3391"/>
    <w:rsid w:val="63927FB4"/>
    <w:rsid w:val="63B868A3"/>
    <w:rsid w:val="63CC234F"/>
    <w:rsid w:val="646B1B68"/>
    <w:rsid w:val="6477675E"/>
    <w:rsid w:val="64A852AD"/>
    <w:rsid w:val="64AF7CA6"/>
    <w:rsid w:val="64B252FD"/>
    <w:rsid w:val="6583773F"/>
    <w:rsid w:val="66BC48FC"/>
    <w:rsid w:val="66E16111"/>
    <w:rsid w:val="671169F6"/>
    <w:rsid w:val="673E3563"/>
    <w:rsid w:val="673F7A07"/>
    <w:rsid w:val="69256789"/>
    <w:rsid w:val="696C260A"/>
    <w:rsid w:val="69BA3375"/>
    <w:rsid w:val="69BE3C72"/>
    <w:rsid w:val="6A9F256B"/>
    <w:rsid w:val="6B916358"/>
    <w:rsid w:val="6C1D31AD"/>
    <w:rsid w:val="6C515AE7"/>
    <w:rsid w:val="6C64734B"/>
    <w:rsid w:val="6CBC7B76"/>
    <w:rsid w:val="6D0A4613"/>
    <w:rsid w:val="6DAF51BB"/>
    <w:rsid w:val="6DD56E3A"/>
    <w:rsid w:val="6DFB3F5C"/>
    <w:rsid w:val="6E493F8C"/>
    <w:rsid w:val="6F3911E0"/>
    <w:rsid w:val="6FB62831"/>
    <w:rsid w:val="6FFB0243"/>
    <w:rsid w:val="703D260A"/>
    <w:rsid w:val="708E730A"/>
    <w:rsid w:val="70B34FC2"/>
    <w:rsid w:val="70FA04FB"/>
    <w:rsid w:val="70FC4273"/>
    <w:rsid w:val="713F62C8"/>
    <w:rsid w:val="71526589"/>
    <w:rsid w:val="718B3849"/>
    <w:rsid w:val="72035AD5"/>
    <w:rsid w:val="72B012AF"/>
    <w:rsid w:val="72E50B8D"/>
    <w:rsid w:val="7406783B"/>
    <w:rsid w:val="740D5477"/>
    <w:rsid w:val="741E6BF6"/>
    <w:rsid w:val="746A5998"/>
    <w:rsid w:val="749D5D6D"/>
    <w:rsid w:val="74A73931"/>
    <w:rsid w:val="74BF6E58"/>
    <w:rsid w:val="752C70F1"/>
    <w:rsid w:val="75FF0362"/>
    <w:rsid w:val="774C5829"/>
    <w:rsid w:val="77534E09"/>
    <w:rsid w:val="7758341C"/>
    <w:rsid w:val="77A8194D"/>
    <w:rsid w:val="781A1483"/>
    <w:rsid w:val="782347DB"/>
    <w:rsid w:val="79147A06"/>
    <w:rsid w:val="7A0643B5"/>
    <w:rsid w:val="7A0E5017"/>
    <w:rsid w:val="7A49604F"/>
    <w:rsid w:val="7A637111"/>
    <w:rsid w:val="7A682979"/>
    <w:rsid w:val="7ABE6A3D"/>
    <w:rsid w:val="7B656EB9"/>
    <w:rsid w:val="7B9D5F68"/>
    <w:rsid w:val="7C765821"/>
    <w:rsid w:val="7C8617DD"/>
    <w:rsid w:val="7CC52305"/>
    <w:rsid w:val="7D676F18"/>
    <w:rsid w:val="7D6F1533"/>
    <w:rsid w:val="7DC05154"/>
    <w:rsid w:val="7E621509"/>
    <w:rsid w:val="7E6671D0"/>
    <w:rsid w:val="7E70004F"/>
    <w:rsid w:val="7ECF746B"/>
    <w:rsid w:val="7F141322"/>
    <w:rsid w:val="7F7C3A97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0022500-1A23-497E-BC1E-AC510AA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alloon Text"/>
    <w:basedOn w:val="a"/>
    <w:next w:val="5"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1956</Characters>
  <Application>Microsoft Office Word</Application>
  <DocSecurity>0</DocSecurity>
  <Lines>16</Lines>
  <Paragraphs>4</Paragraphs>
  <ScaleCrop>false</ScaleCrop>
  <Company>China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YS</cp:lastModifiedBy>
  <cp:revision>5</cp:revision>
  <dcterms:created xsi:type="dcterms:W3CDTF">2023-11-06T02:28:00Z</dcterms:created>
  <dcterms:modified xsi:type="dcterms:W3CDTF">2024-09-29T11:50:00Z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5498F6E61FD849908A7E6D17B022D901_12</vt:lpwstr>
  </property>
</Properties>
</file>